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DEE5F1" w:rsidP="2DDEE5F1" w:rsidRDefault="2DDEE5F1" w14:noSpellErr="1" w14:paraId="64F451F8" w14:textId="49E49F7C">
      <w:pPr>
        <w:rPr>
          <w:rFonts w:ascii="Times New Roman" w:hAnsi="Times New Roman" w:cs="Times New Roman"/>
          <w:sz w:val="24"/>
          <w:szCs w:val="24"/>
          <w:u w:val="single"/>
        </w:rPr>
      </w:pPr>
      <w:r w:rsidRPr="2DDEE5F1" w:rsidR="2DDEE5F1">
        <w:rPr>
          <w:rFonts w:ascii="Times New Roman" w:hAnsi="Times New Roman" w:cs="Times New Roman"/>
          <w:sz w:val="24"/>
          <w:szCs w:val="24"/>
          <w:u w:val="single"/>
        </w:rPr>
        <w:t xml:space="preserve">Sample Strategy Screen (CJA) </w:t>
      </w:r>
    </w:p>
    <w:p xmlns:wp14="http://schemas.microsoft.com/office/word/2010/wordml" w:rsidRPr="00121266" w:rsidR="009824F1" w:rsidP="4B094FCE" w:rsidRDefault="009824F1" w14:paraId="2F8D66B2" wp14:textId="77777777" wp14:noSpellErr="1">
      <w:pPr>
        <w:rPr>
          <w:rFonts w:ascii="Times New Roman" w:hAnsi="Times New Roman" w:cs="Times New Roman"/>
          <w:sz w:val="24"/>
          <w:szCs w:val="24"/>
          <w:u w:val="single"/>
        </w:rPr>
      </w:pP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 xml:space="preserve">Mission: </w:t>
      </w:r>
    </w:p>
    <w:p xmlns:wp14="http://schemas.microsoft.com/office/word/2010/wordml" w:rsidRPr="00121266" w:rsidR="009824F1" w:rsidP="4B094FCE" w:rsidRDefault="009824F1" w14:paraId="240CA4C3" wp14:textId="77777777" wp14:noSpellErr="1">
      <w:pPr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4B094FC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>CJA’s mission is to deter torture, war crimes, crimes against humanity, and other severe human rights abuses around the world through innovative litigation, policy, and transitional justice strategies.</w:t>
      </w:r>
    </w:p>
    <w:p xmlns:wp14="http://schemas.microsoft.com/office/word/2010/wordml" w:rsidRPr="00121266" w:rsidR="009824F1" w:rsidP="4B094FCE" w:rsidRDefault="00121266" w14:paraId="0CD88978" wp14:textId="77777777" wp14:noSpellErr="1">
      <w:pPr>
        <w:pStyle w:val="Normal"/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</w:pPr>
      <w:r w:rsidRPr="4B094FC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  <w:bdr w:val="none" w:color="auto" w:sz="0" w:space="0" w:frame="1"/>
          <w:shd w:val="clear" w:color="auto" w:fill="FFFFFF"/>
        </w:rPr>
        <w:t>Background</w:t>
      </w:r>
      <w:r w:rsidRPr="4B094FCE" w:rsidR="009824F1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single"/>
          <w:bdr w:val="none" w:color="auto" w:sz="0" w:space="0" w:frame="1"/>
          <w:shd w:val="clear" w:color="auto" w:fill="FFFFFF"/>
        </w:rPr>
        <w:t xml:space="preserve">: </w:t>
      </w:r>
    </w:p>
    <w:p xmlns:wp14="http://schemas.microsoft.com/office/word/2010/wordml" w:rsidRPr="00121266" w:rsidR="009824F1" w:rsidP="4B094FCE" w:rsidRDefault="009824F1" w14:paraId="39BDE91B" wp14:textId="77777777" wp14:noSpellErr="1">
      <w:pPr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4B094FC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 xml:space="preserve">The mission is extremely broad and the resources for the work are limited. There are a number of possible key strategies </w:t>
      </w:r>
      <w:r w:rsidRPr="4B094FCE" w:rsidR="00F771F0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>we coul</w:t>
      </w:r>
      <w:r w:rsidRPr="4B094FCE" w:rsidR="0012126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>d deploy. We need greater clarit</w:t>
      </w:r>
      <w:r w:rsidRPr="4B094FCE" w:rsidR="00F771F0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 xml:space="preserve">y on which option we are choosing and why. </w:t>
      </w:r>
    </w:p>
    <w:p xmlns:wp14="http://schemas.microsoft.com/office/word/2010/wordml" w:rsidRPr="00121266" w:rsidR="009824F1" w:rsidP="4B094FCE" w:rsidRDefault="009824F1" w14:paraId="10AC0175" wp14:textId="77777777" wp14:noSpellErr="1">
      <w:pPr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B094FC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 xml:space="preserve">For many reasons including Supreme Court decisions that limit the jurisdiction of the US domestic statute and a sense of urgency </w:t>
      </w:r>
      <w:r w:rsidRPr="4B094FCE" w:rsidR="0012126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>with respect to</w:t>
      </w:r>
      <w:r w:rsidRPr="4B094FC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 xml:space="preserve"> address</w:t>
      </w:r>
      <w:r w:rsidRPr="4B094FCE" w:rsidR="00121266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>ing</w:t>
      </w:r>
      <w:r w:rsidRPr="4B094FCE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color="auto" w:sz="0" w:space="0" w:frame="1"/>
          <w:shd w:val="clear" w:color="auto" w:fill="FFFFFF"/>
        </w:rPr>
        <w:t xml:space="preserve"> current violations, we are debating moving away from Option A towards Option B. </w:t>
      </w:r>
    </w:p>
    <w:p xmlns:wp14="http://schemas.microsoft.com/office/word/2010/wordml" w:rsidRPr="00121266" w:rsidR="00D55D83" w:rsidP="4B094FCE" w:rsidRDefault="009824F1" w14:paraId="39EAE745" wp14:textId="28DFDEEA" wp14:noSpellErr="1">
      <w:pPr>
        <w:rPr>
          <w:rFonts w:ascii="Times New Roman" w:hAnsi="Times New Roman" w:cs="Times New Roman"/>
          <w:sz w:val="24"/>
          <w:szCs w:val="24"/>
          <w:u w:val="single"/>
        </w:rPr>
      </w:pP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 xml:space="preserve">Possible </w:t>
      </w: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 xml:space="preserve">Change </w:t>
      </w: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 xml:space="preserve">tatement Option A: </w:t>
      </w:r>
    </w:p>
    <w:p w:rsidR="4B094FCE" w:rsidP="4B094FCE" w:rsidRDefault="4B094FCE" w14:noSpellErr="1" w14:paraId="70FCDB9B" w14:textId="11394E6D">
      <w:pPr>
        <w:rPr>
          <w:rFonts w:ascii="Times New Roman" w:hAnsi="Times New Roman" w:cs="Times New Roman"/>
          <w:sz w:val="24"/>
          <w:szCs w:val="24"/>
        </w:rPr>
      </w:pPr>
      <w:r w:rsidRPr="4B094FCE" w:rsidR="4B094FCE">
        <w:rPr>
          <w:rFonts w:ascii="Times New Roman" w:hAnsi="Times New Roman" w:cs="Times New Roman"/>
          <w:sz w:val="24"/>
          <w:szCs w:val="24"/>
        </w:rPr>
        <w:t xml:space="preserve">If we represent immigrant diaspora communities in bringing forward cases under </w:t>
      </w:r>
      <w:r w:rsidRPr="4B094FCE" w:rsidR="4B094FCE">
        <w:rPr>
          <w:rFonts w:ascii="Times New Roman" w:hAnsi="Times New Roman" w:cs="Times New Roman"/>
          <w:sz w:val="24"/>
          <w:szCs w:val="24"/>
        </w:rPr>
        <w:t>available domestic statutes</w:t>
      </w:r>
      <w:r w:rsidRPr="4B094FCE" w:rsidR="4B094FCE">
        <w:rPr>
          <w:rFonts w:ascii="Times New Roman" w:hAnsi="Times New Roman" w:cs="Times New Roman"/>
          <w:sz w:val="24"/>
          <w:szCs w:val="24"/>
        </w:rPr>
        <w:t>, then we</w:t>
      </w:r>
      <w:r w:rsidRPr="4B094FCE" w:rsidR="4B094FCE">
        <w:rPr>
          <w:rFonts w:ascii="Times New Roman" w:hAnsi="Times New Roman" w:cs="Times New Roman"/>
          <w:sz w:val="24"/>
          <w:szCs w:val="24"/>
        </w:rPr>
        <w:t xml:space="preserve"> ensure that here in the US, our home country, there is no impunity for committing human rights violations. </w:t>
      </w:r>
    </w:p>
    <w:p w:rsidR="4B094FCE" w:rsidP="4B094FCE" w:rsidRDefault="4B094FCE" w14:noSpellErr="1" w14:paraId="3A2C38D6" w14:textId="4DEE6F08">
      <w:pPr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</w:pP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>Possible Identity Statement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A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>:</w:t>
      </w:r>
    </w:p>
    <w:p w:rsidR="4B094FCE" w:rsidP="4B094FCE" w:rsidRDefault="4B094FCE" w14:noSpellErr="1" w14:paraId="3048F17F" w14:textId="1FF56BF2">
      <w:pPr>
        <w:pStyle w:val="Normal"/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</w:pP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We advance our mission of deterring torture, war crimes, crimes against humanity and other severe human rights abuses around the world by representing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victims of human rights violations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who are members of the immigrant diaspora community in the US,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emphasizing our competitive advantage of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victim-centered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US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federal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civil litigation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. We are sustainable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through support from individual donors and private foundations. </w:t>
      </w:r>
    </w:p>
    <w:p xmlns:wp14="http://schemas.microsoft.com/office/word/2010/wordml" w:rsidRPr="00121266" w:rsidR="009824F1" w:rsidP="4B094FCE" w:rsidRDefault="009824F1" w14:paraId="7ECF72E9" wp14:textId="08622F53" wp14:noSpellErr="1">
      <w:pPr>
        <w:rPr>
          <w:rFonts w:ascii="Times New Roman" w:hAnsi="Times New Roman" w:cs="Times New Roman"/>
          <w:sz w:val="24"/>
          <w:szCs w:val="24"/>
          <w:u w:val="single"/>
        </w:rPr>
      </w:pP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 xml:space="preserve">Possible </w:t>
      </w:r>
      <w:r w:rsidRPr="4B094FCE" w:rsidR="4B094FCE">
        <w:rPr>
          <w:rFonts w:ascii="Times New Roman" w:hAnsi="Times New Roman" w:cs="Times New Roman"/>
          <w:sz w:val="24"/>
          <w:szCs w:val="24"/>
          <w:u w:val="single"/>
        </w:rPr>
        <w:t>Change statement Option B:</w:t>
      </w:r>
    </w:p>
    <w:p xmlns:wp14="http://schemas.microsoft.com/office/word/2010/wordml" w:rsidRPr="00121266" w:rsidR="009824F1" w:rsidP="4B094FCE" w:rsidRDefault="009824F1" w14:paraId="44C71AAB" wp14:textId="77777777" wp14:noSpellErr="1">
      <w:pPr>
        <w:rPr>
          <w:rFonts w:ascii="Times New Roman" w:hAnsi="Times New Roman" w:cs="Times New Roman"/>
          <w:sz w:val="24"/>
          <w:szCs w:val="24"/>
        </w:rPr>
      </w:pPr>
      <w:r w:rsidRPr="4B094FCE" w:rsidR="4B094FCE">
        <w:rPr>
          <w:rFonts w:ascii="Times New Roman" w:hAnsi="Times New Roman" w:cs="Times New Roman"/>
          <w:sz w:val="24"/>
          <w:szCs w:val="24"/>
        </w:rPr>
        <w:t xml:space="preserve">If we represent NGOs in transitional societies in bringing forward criminal  cases before hybrid tribunals and domestic courts in the home country, then we ensure that there is no impunity </w:t>
      </w:r>
      <w:r w:rsidRPr="4B094FCE" w:rsidR="4B094FCE">
        <w:rPr>
          <w:rFonts w:ascii="Times New Roman" w:hAnsi="Times New Roman" w:cs="Times New Roman"/>
          <w:sz w:val="24"/>
          <w:szCs w:val="24"/>
        </w:rPr>
        <w:t xml:space="preserve">in </w:t>
      </w:r>
      <w:r w:rsidRPr="4B094FCE" w:rsidR="4B094FCE">
        <w:rPr>
          <w:rFonts w:ascii="Times New Roman" w:hAnsi="Times New Roman" w:cs="Times New Roman"/>
          <w:sz w:val="24"/>
          <w:szCs w:val="24"/>
        </w:rPr>
        <w:t xml:space="preserve">the post-conflict peace process and strengthen rule of law in those societies. </w:t>
      </w:r>
    </w:p>
    <w:p w:rsidR="4B094FCE" w:rsidP="4B094FCE" w:rsidRDefault="4B094FCE" w14:noSpellErr="1" w14:paraId="50083632" w14:textId="13E9B5C1">
      <w:pPr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</w:pP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>Possible Identity Statement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 xml:space="preserve"> B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single"/>
        </w:rPr>
        <w:t>:</w:t>
      </w:r>
    </w:p>
    <w:p w:rsidR="4B094FCE" w:rsidP="4B094FCE" w:rsidRDefault="4B094FCE" w14:noSpellErr="1" w14:paraId="378B0F2E" w14:textId="2BE5748E">
      <w:pPr>
        <w:pStyle w:val="Normal"/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</w:pP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We advance our mission of deterring torture, war crimes, crimes against humanity and other severe human rights abuses around the world by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partnering with NGOS to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represent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the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victims of human rights violations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in transitional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socie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ties, emphasizing our competitive advantage of litigation before hybrid tribunals and forensic investigation skills.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We are sustainable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>through support from individual donors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, 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private foundations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 and bilateral development donors</w:t>
      </w:r>
      <w:r w:rsidRPr="4B094FCE" w:rsidR="4B094FCE">
        <w:rPr>
          <w:rStyle w:val="Strong"/>
          <w:rFonts w:ascii="Times New Roman" w:hAnsi="Times New Roman" w:cs="Times New Roman"/>
          <w:b w:val="0"/>
          <w:bCs w:val="0"/>
          <w:color w:val="000000" w:themeColor="text1" w:themeTint="FF" w:themeShade="FF"/>
          <w:sz w:val="24"/>
          <w:szCs w:val="24"/>
          <w:u w:val="none"/>
        </w:rPr>
        <w:t xml:space="preserve">. </w:t>
      </w:r>
    </w:p>
    <w:p xmlns:wp14="http://schemas.microsoft.com/office/word/2010/wordml" w:rsidR="00F8477E" w:rsidRDefault="00F8477E" w14:paraId="22879673" wp14:textId="7777777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4B094FCE" w:rsidP="4B094FCE" w:rsidRDefault="4B094FCE" w14:noSpellErr="1" w14:paraId="5E0E5C67" w14:textId="5EA8E7A0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4B094FCE" w:rsidP="4B094FCE" w:rsidRDefault="4B094FCE" w14:noSpellErr="1" w14:paraId="2D6268CF" w14:textId="646EE21E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4B094FCE" w:rsidP="4B094FCE" w:rsidRDefault="4B094FCE" w14:noSpellErr="1" w14:paraId="4CD15702" w14:textId="07025E47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4B094FCE" w:rsidP="4B094FCE" w:rsidRDefault="4B094FCE" w14:noSpellErr="1" w14:paraId="7A48D9F6" w14:textId="081FA1EA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xmlns:wp14="http://schemas.microsoft.com/office/word/2010/wordml" w:rsidRPr="00C6079C" w:rsidR="009824F1" w:rsidP="4B094FCE" w:rsidRDefault="00F771F0" w14:paraId="4F980925" wp14:noSpellErr="1" wp14:textId="65A1982B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  <w:r w:rsidRPr="4B094FCE" w:rsidR="4B094FCE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Option </w:t>
      </w:r>
      <w:r w:rsidRPr="4B094FCE" w:rsidR="4B094FCE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A</w:t>
      </w:r>
      <w:r w:rsidRPr="4B094FCE" w:rsidR="4B094FCE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 xml:space="preserve"> Strategy Screen </w:t>
      </w:r>
      <w:proofErr w:type="gramStart"/>
      <w:proofErr w:type="gramEnd"/>
    </w:p>
    <w:p xmlns:wp14="http://schemas.microsoft.com/office/word/2010/wordml" w:rsidRPr="00C6079C" w:rsidR="009824F1" w:rsidRDefault="00F771F0" w14:paraId="60F7DDEF" wp14:textId="77777777">
      <w:pPr>
        <w:rPr>
          <w:rFonts w:ascii="Times New Roman" w:hAnsi="Times New Roman" w:cs="Times New Roman"/>
          <w:sz w:val="24"/>
          <w:szCs w:val="24"/>
        </w:rPr>
      </w:pPr>
      <w:r w:rsidRPr="00C6079C">
        <w:rPr>
          <w:rFonts w:ascii="Times New Roman" w:hAnsi="Times New Roman" w:cs="Times New Roman"/>
          <w:sz w:val="24"/>
          <w:szCs w:val="24"/>
        </w:rPr>
        <w:t>We will undertake strategies that:</w:t>
      </w:r>
    </w:p>
    <w:tbl>
      <w:tblPr>
        <w:tblStyle w:val="TableGrid"/>
        <w:tblW w:w="9320" w:type="dxa"/>
        <w:tblLook w:val="04A0" w:firstRow="1" w:lastRow="0" w:firstColumn="1" w:lastColumn="0" w:noHBand="0" w:noVBand="1"/>
      </w:tblPr>
      <w:tblGrid>
        <w:gridCol w:w="1870"/>
        <w:gridCol w:w="1870"/>
        <w:gridCol w:w="1890"/>
        <w:gridCol w:w="1875"/>
        <w:gridCol w:w="1815"/>
      </w:tblGrid>
      <w:tr w:rsidR="2DDEE5F1" w:rsidTr="2DDEE5F1" w14:paraId="0C18441F">
        <w:tc>
          <w:tcPr>
            <w:tcW w:w="1870" w:type="dxa"/>
            <w:tcMar/>
          </w:tcPr>
          <w:p w:rsidR="2DDEE5F1" w:rsidP="2DDEE5F1" w:rsidRDefault="2DDEE5F1" w14:paraId="760FF410" w14:textId="4FEF74D4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="2DDEE5F1" w:rsidP="2DDEE5F1" w:rsidRDefault="2DDEE5F1" w14:noSpellErr="1" w14:paraId="1E2663A3" w14:textId="17108F04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A</w:t>
            </w:r>
          </w:p>
        </w:tc>
        <w:tc>
          <w:tcPr>
            <w:tcW w:w="1890" w:type="dxa"/>
            <w:tcMar/>
          </w:tcPr>
          <w:p w:rsidR="2DDEE5F1" w:rsidP="2DDEE5F1" w:rsidRDefault="2DDEE5F1" w14:noSpellErr="1" w14:paraId="4FEE7CF5" w14:textId="438AF6EA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B</w:t>
            </w:r>
          </w:p>
        </w:tc>
        <w:tc>
          <w:tcPr>
            <w:tcW w:w="1875" w:type="dxa"/>
            <w:tcMar/>
          </w:tcPr>
          <w:p w:rsidR="2DDEE5F1" w:rsidP="2DDEE5F1" w:rsidRDefault="2DDEE5F1" w14:noSpellErr="1" w14:paraId="56C2D85D" w14:textId="20FB03D4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C</w:t>
            </w:r>
          </w:p>
        </w:tc>
        <w:tc>
          <w:tcPr>
            <w:tcW w:w="1815" w:type="dxa"/>
            <w:tcMar/>
          </w:tcPr>
          <w:p w:rsidR="2DDEE5F1" w:rsidP="2DDEE5F1" w:rsidRDefault="2DDEE5F1" w14:noSpellErr="1" w14:paraId="702ED88D" w14:textId="22FB5F9A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D</w:t>
            </w:r>
          </w:p>
        </w:tc>
      </w:tr>
      <w:tr xmlns:wp14="http://schemas.microsoft.com/office/word/2010/wordml" w:rsidRPr="00C6079C" w:rsidR="00F771F0" w:rsidTr="2DDEE5F1" w14:paraId="1CB81EAD" wp14:textId="77777777">
        <w:tc>
          <w:tcPr>
            <w:tcW w:w="1870" w:type="dxa"/>
            <w:tcMar/>
          </w:tcPr>
          <w:p w:rsidRPr="00C6079C" w:rsidR="00F771F0" w:rsidP="2DDEE5F1" w:rsidRDefault="00F771F0" wp14:noSpellErr="1" w14:paraId="558B04B2" wp14:textId="7EB6C6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Are consistent with our mission</w:t>
            </w:r>
          </w:p>
          <w:p w:rsidRPr="00C6079C" w:rsidR="00F771F0" w:rsidP="2DDEE5F1" w:rsidRDefault="00F771F0" wp14:noSpellErr="1" w14:paraId="4C375EB4" wp14:textId="2D621439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C6079C" w:rsidR="00F771F0" w:rsidP="2DDEE5F1" w:rsidRDefault="00F771F0" w14:paraId="6C5FCBE1" w14:noSpellErr="1" wp14:textId="795B8FDE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2DDEE5F1" w:rsidRDefault="00F771F0" w14:paraId="0FC27603" w14:noSpellErr="1" wp14:textId="2083A4E1">
            <w:pPr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Mar/>
          </w:tcPr>
          <w:p w:rsidRPr="00C6079C" w:rsidR="00F771F0" w:rsidP="2DDEE5F1" w:rsidRDefault="00F771F0" w14:paraId="2B8FA78C" w14:noSpellErr="1" wp14:textId="73F3C320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tcMar/>
          </w:tcPr>
          <w:p w:rsidRPr="00C6079C" w:rsidR="00F771F0" w:rsidP="2DDEE5F1" w:rsidRDefault="00F771F0" w14:paraId="614AD239" wp14:textId="7471FE54">
            <w:pPr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Mar/>
          </w:tcPr>
          <w:p w:rsidRPr="00C6079C" w:rsidR="00F771F0" w:rsidP="2DDEE5F1" w:rsidRDefault="00F771F0" w14:paraId="3E736F56" wp14:textId="05B8EC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18E95C80" wp14:textId="77777777">
        <w:tc>
          <w:tcPr>
            <w:tcW w:w="1870" w:type="dxa"/>
            <w:tcMar/>
          </w:tcPr>
          <w:p w:rsidRPr="00C6079C" w:rsidR="00F771F0" w:rsidP="00F771F0" w:rsidRDefault="00F771F0" w14:paraId="676F9D9E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Build on our existing strengths and assets as an organization</w:t>
            </w:r>
          </w:p>
        </w:tc>
        <w:tc>
          <w:tcPr>
            <w:tcW w:w="1870" w:type="dxa"/>
            <w:tcMar/>
          </w:tcPr>
          <w:p w:rsidRPr="00C6079C" w:rsidR="00F771F0" w:rsidRDefault="00F771F0" w14:paraId="57302A81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Mar/>
          </w:tcPr>
          <w:p w:rsidRPr="00C6079C" w:rsidR="00F771F0" w:rsidRDefault="00F771F0" w14:paraId="635A4180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tcMar/>
          </w:tcPr>
          <w:p w:rsidRPr="00C6079C" w:rsidR="00F771F0" w:rsidRDefault="00F771F0" w14:paraId="6BA4F30B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Mar/>
          </w:tcPr>
          <w:p w:rsidRPr="00C6079C" w:rsidR="00F771F0" w:rsidRDefault="00F771F0" w14:paraId="1A0CAA6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1218F225" wp14:textId="77777777">
        <w:tc>
          <w:tcPr>
            <w:tcW w:w="1870" w:type="dxa"/>
            <w:tcMar/>
          </w:tcPr>
          <w:p w:rsidRPr="00C6079C" w:rsidR="00F771F0" w:rsidRDefault="00F771F0" w14:paraId="410D6A31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Have a dedicated source of funding </w:t>
            </w:r>
          </w:p>
        </w:tc>
        <w:tc>
          <w:tcPr>
            <w:tcW w:w="1870" w:type="dxa"/>
            <w:tcMar/>
          </w:tcPr>
          <w:p w:rsidRPr="00C6079C" w:rsidR="00F771F0" w:rsidRDefault="00F771F0" w14:paraId="279AE12D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Mar/>
          </w:tcPr>
          <w:p w:rsidRPr="00C6079C" w:rsidR="00F771F0" w:rsidRDefault="00F771F0" w14:paraId="06967379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tcMar/>
          </w:tcPr>
          <w:p w:rsidRPr="00C6079C" w:rsidR="00F771F0" w:rsidRDefault="00F771F0" w14:paraId="4FB98822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Mar/>
          </w:tcPr>
          <w:p w:rsidRPr="00C6079C" w:rsidR="00F771F0" w:rsidRDefault="00F771F0" w14:paraId="64EE24C7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2D5F59EE" wp14:textId="77777777">
        <w:tc>
          <w:tcPr>
            <w:tcW w:w="1870" w:type="dxa"/>
            <w:tcMar/>
          </w:tcPr>
          <w:p w:rsidRPr="00C6079C" w:rsidR="00F771F0" w:rsidP="00121266" w:rsidRDefault="00F771F0" w14:paraId="3500E7A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Are responsive to the US </w:t>
            </w:r>
            <w:r w:rsidRPr="00C6079C" w:rsidR="00121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immigrant diaspora community seeking</w:t>
            </w: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to confront </w:t>
            </w:r>
            <w:r w:rsidRPr="00C6079C" w:rsidR="00C61C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perpetrators of human rights violations</w:t>
            </w: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70" w:type="dxa"/>
            <w:tcMar/>
          </w:tcPr>
          <w:p w:rsidRPr="00C6079C" w:rsidR="00F771F0" w:rsidRDefault="00F771F0" w14:paraId="2BCB8F71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Mar/>
          </w:tcPr>
          <w:p w:rsidRPr="00C6079C" w:rsidR="00F771F0" w:rsidRDefault="00F771F0" w14:paraId="7605F6E4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tcMar/>
          </w:tcPr>
          <w:p w:rsidRPr="00C6079C" w:rsidR="00F771F0" w:rsidRDefault="00F771F0" w14:paraId="46D85943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Mar/>
          </w:tcPr>
          <w:p w:rsidRPr="00C6079C" w:rsidR="00F771F0" w:rsidRDefault="00F771F0" w14:paraId="1C8935FD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4CBBB390" wp14:textId="77777777">
        <w:tc>
          <w:tcPr>
            <w:tcW w:w="1870" w:type="dxa"/>
            <w:tcMar/>
          </w:tcPr>
          <w:p w:rsidRPr="00C6079C" w:rsidR="00F771F0" w:rsidP="00C6079C" w:rsidRDefault="00F771F0" w14:paraId="24FFEFB9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Build strong case law precedents for </w:t>
            </w:r>
            <w:r w:rsidRPr="00C6079C" w:rsid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exercising jurisdiction over international human rights cases in US courts</w:t>
            </w: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70" w:type="dxa"/>
            <w:tcMar/>
          </w:tcPr>
          <w:p w:rsidRPr="00C6079C" w:rsidR="00F771F0" w:rsidRDefault="00F771F0" w14:paraId="3EDFD9D2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Mar/>
          </w:tcPr>
          <w:p w:rsidRPr="00C6079C" w:rsidR="00F771F0" w:rsidRDefault="00F771F0" w14:paraId="4492925E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tcMar/>
          </w:tcPr>
          <w:p w:rsidRPr="00C6079C" w:rsidR="00F771F0" w:rsidRDefault="00F771F0" w14:paraId="56C2CC0C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Mar/>
          </w:tcPr>
          <w:p w:rsidRPr="00C6079C" w:rsidR="00F771F0" w:rsidRDefault="00F771F0" w14:paraId="1C6E30A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7A16D808" wp14:textId="77777777">
        <w:tc>
          <w:tcPr>
            <w:tcW w:w="1870" w:type="dxa"/>
            <w:tcMar/>
          </w:tcPr>
          <w:p w:rsidRPr="00C6079C" w:rsidR="00F771F0" w:rsidP="00F771F0" w:rsidRDefault="00F771F0" w14:paraId="0D8A9C99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Enable survivors to inform, guide and lead the initiative</w:t>
            </w:r>
          </w:p>
        </w:tc>
        <w:tc>
          <w:tcPr>
            <w:tcW w:w="1870" w:type="dxa"/>
            <w:tcMar/>
          </w:tcPr>
          <w:p w:rsidRPr="00C6079C" w:rsidR="00F771F0" w:rsidRDefault="00F771F0" w14:paraId="42670E17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Mar/>
          </w:tcPr>
          <w:p w:rsidRPr="00C6079C" w:rsidR="00F771F0" w:rsidRDefault="00F771F0" w14:paraId="7E787F9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tcMar/>
          </w:tcPr>
          <w:p w:rsidRPr="00C6079C" w:rsidR="00F771F0" w:rsidRDefault="00F771F0" w14:paraId="12D5480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15" w:type="dxa"/>
            <w:tcMar/>
          </w:tcPr>
          <w:p w:rsidRPr="00C6079C" w:rsidR="00F771F0" w:rsidRDefault="00F771F0" w14:paraId="37ACD8E1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="00F8477E" w:rsidP="4B094FCE" w:rsidRDefault="00F8477E" w14:paraId="175FD54B" wp14:noSpellErr="1" wp14:textId="743C3448">
      <w:pPr>
        <w:pStyle w:val="Normal"/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2DDEE5F1" w:rsidP="2DDEE5F1" w:rsidRDefault="2DDEE5F1" w14:noSpellErr="1" w14:paraId="4F7245FE" w14:textId="6739D2C9">
      <w:pPr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w:rsidR="2DDEE5F1" w:rsidP="2DDEE5F1" w:rsidRDefault="2DDEE5F1" w14:noSpellErr="1" w14:paraId="4D58D34B" w14:textId="6124DA2B">
      <w:pPr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</w:pPr>
    </w:p>
    <w:p xmlns:wp14="http://schemas.microsoft.com/office/word/2010/wordml" w:rsidRPr="00C6079C" w:rsidR="009824F1" w:rsidRDefault="00F771F0" w14:paraId="6D96F029" wp14:textId="777777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name="_GoBack" w:id="0"/>
      <w:bookmarkEnd w:id="0"/>
      <w:r w:rsidRPr="00C607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Option B Strategy Screen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2DDEE5F1" w:rsidTr="2DDEE5F1" w14:paraId="1296E9C3">
        <w:tc>
          <w:tcPr>
            <w:tcW w:w="1870" w:type="dxa"/>
            <w:tcMar/>
          </w:tcPr>
          <w:p w:rsidR="2DDEE5F1" w:rsidP="2DDEE5F1" w:rsidRDefault="2DDEE5F1" w14:paraId="75277E7D" w14:textId="43B9245B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tcMar/>
          </w:tcPr>
          <w:p w:rsidR="2DDEE5F1" w:rsidP="2DDEE5F1" w:rsidRDefault="2DDEE5F1" w14:noSpellErr="1" w14:paraId="0E711086" w14:textId="64C2F905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A</w:t>
            </w:r>
          </w:p>
        </w:tc>
        <w:tc>
          <w:tcPr>
            <w:tcW w:w="1870" w:type="dxa"/>
            <w:tcMar/>
          </w:tcPr>
          <w:p w:rsidR="2DDEE5F1" w:rsidP="2DDEE5F1" w:rsidRDefault="2DDEE5F1" w14:noSpellErr="1" w14:paraId="26CC8604" w14:textId="75556DA4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B</w:t>
            </w:r>
          </w:p>
        </w:tc>
        <w:tc>
          <w:tcPr>
            <w:tcW w:w="1870" w:type="dxa"/>
            <w:tcMar/>
          </w:tcPr>
          <w:p w:rsidR="2DDEE5F1" w:rsidP="2DDEE5F1" w:rsidRDefault="2DDEE5F1" w14:noSpellErr="1" w14:paraId="4C9DA05B" w14:textId="35B36506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Option C</w:t>
            </w:r>
          </w:p>
        </w:tc>
        <w:tc>
          <w:tcPr>
            <w:tcW w:w="1870" w:type="dxa"/>
            <w:tcMar/>
          </w:tcPr>
          <w:p w:rsidR="2DDEE5F1" w:rsidP="2DDEE5F1" w:rsidRDefault="2DDEE5F1" w14:noSpellErr="1" w14:paraId="39B44F00" w14:textId="11ADA8C6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Option D </w:t>
            </w:r>
          </w:p>
        </w:tc>
      </w:tr>
      <w:tr xmlns:wp14="http://schemas.microsoft.com/office/word/2010/wordml" w:rsidRPr="00C6079C" w:rsidR="00F771F0" w:rsidTr="2DDEE5F1" w14:paraId="399B25F1" wp14:textId="77777777">
        <w:tc>
          <w:tcPr>
            <w:tcW w:w="1870" w:type="dxa"/>
            <w:tcMar/>
          </w:tcPr>
          <w:p w:rsidRPr="00C6079C" w:rsidR="00F771F0" w:rsidP="2DDEE5F1" w:rsidRDefault="00F771F0" wp14:noSpellErr="1" w14:paraId="59F50234" wp14:textId="1C1D51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Are consistent with our mission</w:t>
            </w:r>
          </w:p>
          <w:p w:rsidRPr="00C6079C" w:rsidR="00F771F0" w:rsidP="2DDEE5F1" w:rsidRDefault="00F771F0" wp14:noSpellErr="1" w14:paraId="0245B3F9" wp14:textId="76F882F8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Pr="00C6079C" w:rsidR="00F771F0" w:rsidP="2DDEE5F1" w:rsidRDefault="00F771F0" w14:paraId="36E2A367" w14:noSpellErr="1" wp14:textId="058198BF">
            <w:pPr>
              <w:pStyle w:val="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2DDEE5F1" w:rsidRDefault="00F771F0" w14:paraId="39F6550E" w14:noSpellErr="1" wp14:textId="0E2D4A72">
            <w:pPr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870" w:type="dxa"/>
            <w:tcMar/>
          </w:tcPr>
          <w:p w:rsidRPr="00C6079C" w:rsidR="00F771F0" w:rsidP="2DDEE5F1" w:rsidRDefault="00F771F0" w14:paraId="48A8A56B" wp14:textId="0462ED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70" w:type="dxa"/>
            <w:tcMar/>
          </w:tcPr>
          <w:p w:rsidRPr="00C6079C" w:rsidR="00F771F0" w:rsidP="2DDEE5F1" w:rsidRDefault="00F771F0" w14:paraId="0526EAA2" wp14:textId="41FC65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2DDEE5F1" w:rsidR="2DDEE5F1">
              <w:rPr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870" w:type="dxa"/>
            <w:tcMar/>
          </w:tcPr>
          <w:p w:rsidRPr="00C6079C" w:rsidR="00F771F0" w:rsidP="2DDEE5F1" w:rsidRDefault="00F771F0" w14:paraId="416B9E3F" w14:noSpellErr="1" wp14:textId="0ACE715E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xmlns:wp14="http://schemas.microsoft.com/office/word/2010/wordml" w:rsidRPr="00C6079C" w:rsidR="00F771F0" w:rsidTr="2DDEE5F1" w14:paraId="74D040AC" wp14:textId="77777777">
        <w:tc>
          <w:tcPr>
            <w:tcW w:w="1870" w:type="dxa"/>
            <w:tcMar/>
          </w:tcPr>
          <w:p w:rsidRPr="00C6079C" w:rsidR="00F771F0" w:rsidP="002953DA" w:rsidRDefault="00F771F0" w14:paraId="304A6BB0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Build on our existing strengths and assets as an organization</w:t>
            </w:r>
          </w:p>
        </w:tc>
        <w:tc>
          <w:tcPr>
            <w:tcW w:w="1870" w:type="dxa"/>
            <w:tcMar/>
          </w:tcPr>
          <w:p w:rsidRPr="00C6079C" w:rsidR="00F771F0" w:rsidP="002953DA" w:rsidRDefault="00F771F0" w14:paraId="79213097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5D12A5F8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1A972180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352C4E7E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26B227C8" wp14:textId="77777777">
        <w:tc>
          <w:tcPr>
            <w:tcW w:w="1870" w:type="dxa"/>
            <w:tcMar/>
          </w:tcPr>
          <w:p w:rsidRPr="00C6079C" w:rsidR="00F771F0" w:rsidP="002953DA" w:rsidRDefault="00F771F0" w14:paraId="2587729E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Have a dedicated source of funding </w:t>
            </w:r>
          </w:p>
        </w:tc>
        <w:tc>
          <w:tcPr>
            <w:tcW w:w="1870" w:type="dxa"/>
            <w:tcMar/>
          </w:tcPr>
          <w:p w:rsidRPr="00C6079C" w:rsidR="00F771F0" w:rsidP="002953DA" w:rsidRDefault="00F771F0" w14:paraId="7339400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5ED3F3FB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3C4AE280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7F939583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5456CA21" wp14:textId="77777777">
        <w:tc>
          <w:tcPr>
            <w:tcW w:w="1870" w:type="dxa"/>
            <w:tcMar/>
          </w:tcPr>
          <w:p w:rsidRPr="00C6079C" w:rsidR="00F771F0" w:rsidP="00121266" w:rsidRDefault="00F771F0" w14:paraId="10ACD192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Are responsive to </w:t>
            </w:r>
            <w:r w:rsidRPr="00C6079C" w:rsidR="00C61C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NGOs in post conflict societies </w:t>
            </w:r>
            <w:r w:rsidRPr="00C6079C" w:rsidR="00121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seeking </w:t>
            </w:r>
            <w:r w:rsidRPr="00C6079C" w:rsidR="00C61C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 confront the perpetrators of human rights violations</w:t>
            </w: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70" w:type="dxa"/>
            <w:tcMar/>
          </w:tcPr>
          <w:p w:rsidRPr="00C6079C" w:rsidR="00F771F0" w:rsidP="002953DA" w:rsidRDefault="00F771F0" w14:paraId="3AC1F9DC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69436977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5E1A5672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57A59C4D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13A0728F" wp14:textId="77777777">
        <w:tc>
          <w:tcPr>
            <w:tcW w:w="1870" w:type="dxa"/>
            <w:tcMar/>
          </w:tcPr>
          <w:p w:rsidRPr="00C6079C" w:rsidR="00F771F0" w:rsidP="00C61CE9" w:rsidRDefault="00F771F0" w14:paraId="2E38222C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Build strong case law precedents for </w:t>
            </w:r>
            <w:r w:rsidRPr="00C6079C" w:rsidR="00C61C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jurisdiction of hybrid tribunals </w:t>
            </w: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70" w:type="dxa"/>
            <w:tcMar/>
          </w:tcPr>
          <w:p w:rsidRPr="00C6079C" w:rsidR="00F771F0" w:rsidP="002953DA" w:rsidRDefault="00F771F0" w14:paraId="6FEE084B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09806004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418B4693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358CF58C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Pr="00C6079C" w:rsidR="00F771F0" w:rsidTr="2DDEE5F1" w14:paraId="31E7E1FF" wp14:textId="77777777">
        <w:tc>
          <w:tcPr>
            <w:tcW w:w="1870" w:type="dxa"/>
            <w:tcMar/>
          </w:tcPr>
          <w:p w:rsidRPr="00C6079C" w:rsidR="00F771F0" w:rsidP="002953DA" w:rsidRDefault="00F771F0" w14:paraId="6634EA51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07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Enable survivors to inform, guide and lead the initiative</w:t>
            </w:r>
          </w:p>
        </w:tc>
        <w:tc>
          <w:tcPr>
            <w:tcW w:w="1870" w:type="dxa"/>
            <w:tcMar/>
          </w:tcPr>
          <w:p w:rsidRPr="00C6079C" w:rsidR="00F771F0" w:rsidP="002953DA" w:rsidRDefault="00F771F0" w14:paraId="146BBA26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086F06BB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0D3D3352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Mar/>
          </w:tcPr>
          <w:p w:rsidRPr="00C6079C" w:rsidR="00F771F0" w:rsidP="002953DA" w:rsidRDefault="00F771F0" w14:paraId="65A69295" wp14:textId="7777777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F771F0" w:rsidR="00F771F0" w:rsidRDefault="00F771F0" w14:paraId="12C55E82" wp14:textId="77777777">
      <w:pPr>
        <w:rPr>
          <w:rFonts w:ascii="Times New Roman" w:hAnsi="Times New Roman" w:cs="Times New Roman"/>
          <w:b/>
          <w:u w:val="single"/>
        </w:rPr>
      </w:pPr>
    </w:p>
    <w:sectPr w:rsidRPr="00F771F0" w:rsidR="00F771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C0"/>
    <w:rsid w:val="00121266"/>
    <w:rsid w:val="007D79C0"/>
    <w:rsid w:val="009824F1"/>
    <w:rsid w:val="00C6079C"/>
    <w:rsid w:val="00C61CE9"/>
    <w:rsid w:val="00D55D83"/>
    <w:rsid w:val="00F771F0"/>
    <w:rsid w:val="00F8477E"/>
    <w:rsid w:val="25C708A0"/>
    <w:rsid w:val="2DDEE5F1"/>
    <w:rsid w:val="4B094FCE"/>
    <w:rsid w:val="7176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7F9E5-3DED-4C04-B33D-12B216424455}"/>
  <w14:docId w14:val="5D7AB96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824F1"/>
    <w:rPr>
      <w:b/>
      <w:bCs/>
    </w:rPr>
  </w:style>
  <w:style w:type="table" w:styleId="TableGrid">
    <w:name w:val="Table Grid"/>
    <w:basedOn w:val="TableNormal"/>
    <w:uiPriority w:val="39"/>
    <w:rsid w:val="00F771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C61CE9"/>
  </w:style>
  <w:style w:type="character" w:styleId="Hyperlink">
    <w:name w:val="Hyperlink"/>
    <w:basedOn w:val="DefaultParagraphFont"/>
    <w:uiPriority w:val="99"/>
    <w:semiHidden/>
    <w:unhideWhenUsed/>
    <w:rsid w:val="00C61C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Liu, Titi</dc:creator>
  <keywords/>
  <dc:description/>
  <lastModifiedBy>titi liu</lastModifiedBy>
  <revision>6</revision>
  <dcterms:created xsi:type="dcterms:W3CDTF">2017-06-28T17:01:00.0000000Z</dcterms:created>
  <dcterms:modified xsi:type="dcterms:W3CDTF">2017-07-12T22:16:27.1551312Z</dcterms:modified>
</coreProperties>
</file>