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DF3B" w14:textId="77777777" w:rsidR="008373DC" w:rsidRDefault="008373DC" w:rsidP="00792207">
      <w:pPr>
        <w:jc w:val="center"/>
        <w:rPr>
          <w:rFonts w:asciiTheme="majorBidi" w:hAnsiTheme="majorBidi" w:cstheme="majorBidi"/>
          <w:b/>
          <w:bCs/>
          <w:sz w:val="40"/>
          <w:szCs w:val="40"/>
          <w:lang w:val="en-US"/>
        </w:rPr>
      </w:pPr>
    </w:p>
    <w:p w14:paraId="5C916132" w14:textId="44AE118B" w:rsidR="00792207" w:rsidRPr="00B54905" w:rsidRDefault="00792207" w:rsidP="00792207">
      <w:pPr>
        <w:jc w:val="center"/>
        <w:rPr>
          <w:rFonts w:asciiTheme="majorBidi" w:hAnsiTheme="majorBidi" w:cstheme="majorBidi"/>
          <w:b/>
          <w:bCs/>
          <w:sz w:val="40"/>
          <w:szCs w:val="40"/>
          <w:lang w:val="en-US"/>
        </w:rPr>
      </w:pPr>
      <w:r w:rsidRPr="00792207">
        <w:rPr>
          <w:rFonts w:asciiTheme="majorBidi" w:hAnsiTheme="majorBidi" w:cstheme="majorBidi"/>
          <w:b/>
          <w:bCs/>
          <w:sz w:val="40"/>
          <w:szCs w:val="40"/>
          <w:lang w:val="en-US"/>
        </w:rPr>
        <w:t>Measuring the Carbon (and Other) Benefits of Climate-Smart Forestry Practices</w:t>
      </w:r>
    </w:p>
    <w:p w14:paraId="0A1FE07E" w14:textId="0D099885" w:rsidR="00792207" w:rsidRPr="00792207" w:rsidRDefault="00792207" w:rsidP="00792207">
      <w:pPr>
        <w:rPr>
          <w:rFonts w:asciiTheme="majorBidi" w:hAnsiTheme="majorBidi" w:cstheme="majorBidi"/>
          <w:b/>
          <w:bCs/>
          <w:sz w:val="28"/>
          <w:szCs w:val="28"/>
          <w:lang w:val="en-US"/>
        </w:rPr>
      </w:pPr>
      <w:r w:rsidRPr="00B54905">
        <w:rPr>
          <w:rFonts w:asciiTheme="majorBidi" w:hAnsiTheme="majorBidi" w:cstheme="majorBidi"/>
          <w:b/>
          <w:bCs/>
          <w:sz w:val="28"/>
          <w:szCs w:val="28"/>
          <w:lang w:val="en-US"/>
        </w:rPr>
        <w:t xml:space="preserve"> </w:t>
      </w:r>
      <w:r w:rsidRPr="00792207">
        <w:rPr>
          <w:rFonts w:asciiTheme="majorBidi" w:hAnsiTheme="majorBidi" w:cstheme="majorBidi"/>
          <w:b/>
          <w:bCs/>
          <w:sz w:val="28"/>
          <w:szCs w:val="28"/>
          <w:lang w:val="en-US"/>
        </w:rPr>
        <w:t xml:space="preserve"> </w:t>
      </w:r>
    </w:p>
    <w:p w14:paraId="52D8E13B" w14:textId="62D29184" w:rsidR="00792207" w:rsidRPr="00B54905" w:rsidRDefault="00792207" w:rsidP="00792207">
      <w:pPr>
        <w:jc w:val="center"/>
        <w:rPr>
          <w:rFonts w:asciiTheme="majorBidi" w:hAnsiTheme="majorBidi" w:cstheme="majorBidi"/>
          <w:b/>
          <w:bCs/>
          <w:sz w:val="28"/>
          <w:szCs w:val="28"/>
          <w:lang w:val="en-US"/>
        </w:rPr>
      </w:pPr>
      <w:r w:rsidRPr="00B54905">
        <w:rPr>
          <w:rFonts w:asciiTheme="majorBidi" w:hAnsiTheme="majorBidi" w:cstheme="majorBidi"/>
          <w:b/>
          <w:bCs/>
          <w:sz w:val="28"/>
          <w:szCs w:val="28"/>
          <w:lang w:val="en-US"/>
        </w:rPr>
        <w:t>Summary of Report &amp; Recommendations</w:t>
      </w:r>
    </w:p>
    <w:p w14:paraId="65458772" w14:textId="77777777" w:rsidR="00792207" w:rsidRPr="00B54905" w:rsidRDefault="00792207" w:rsidP="00792207">
      <w:pPr>
        <w:rPr>
          <w:rFonts w:asciiTheme="majorBidi" w:hAnsiTheme="majorBidi" w:cstheme="majorBidi"/>
          <w:b/>
          <w:bCs/>
          <w:sz w:val="18"/>
          <w:szCs w:val="18"/>
          <w:lang w:val="en-US"/>
        </w:rPr>
      </w:pPr>
    </w:p>
    <w:p w14:paraId="376A19A6" w14:textId="2D9BDFA7" w:rsidR="00792207" w:rsidRPr="00C81874" w:rsidRDefault="00B54905" w:rsidP="00B54905">
      <w:pPr>
        <w:rPr>
          <w:rFonts w:asciiTheme="majorBidi" w:hAnsiTheme="majorBidi" w:cstheme="majorBidi"/>
          <w:b/>
          <w:bCs/>
          <w:i/>
          <w:iCs/>
          <w:lang w:val="en-US"/>
        </w:rPr>
      </w:pPr>
      <w:r w:rsidRPr="00C81874">
        <w:rPr>
          <w:rFonts w:asciiTheme="majorBidi" w:hAnsiTheme="majorBidi" w:cstheme="majorBidi"/>
          <w:i/>
          <w:iCs/>
          <w:lang w:val="en-US"/>
        </w:rPr>
        <w:t xml:space="preserve">Forests provide a critically-important nature-based tool to combat the climate crisis. </w:t>
      </w:r>
      <w:r w:rsidR="00792207" w:rsidRPr="00C81874">
        <w:rPr>
          <w:rFonts w:asciiTheme="majorBidi" w:hAnsiTheme="majorBidi" w:cstheme="majorBidi"/>
          <w:i/>
          <w:iCs/>
          <w:lang w:val="en-US"/>
        </w:rPr>
        <w:t>In July 2023, Stanford Law School’s Law and Policy Lab and the Bezos Earth Fund issued a report that addresse</w:t>
      </w:r>
      <w:r w:rsidRPr="00C81874">
        <w:rPr>
          <w:rFonts w:asciiTheme="majorBidi" w:hAnsiTheme="majorBidi" w:cstheme="majorBidi"/>
          <w:i/>
          <w:iCs/>
          <w:lang w:val="en-US"/>
        </w:rPr>
        <w:t>s</w:t>
      </w:r>
      <w:r w:rsidR="00792207" w:rsidRPr="00C81874">
        <w:rPr>
          <w:rFonts w:asciiTheme="majorBidi" w:hAnsiTheme="majorBidi" w:cstheme="majorBidi"/>
          <w:i/>
          <w:iCs/>
          <w:lang w:val="en-US"/>
        </w:rPr>
        <w:t xml:space="preserve"> the U.S.’s opportunities to deploy climate-smart forestry practices to remove additional quantities of climate-harming carbon from the atmosphere. The report notes that the</w:t>
      </w:r>
      <w:r w:rsidR="00792207" w:rsidRPr="00C81874">
        <w:rPr>
          <w:rFonts w:asciiTheme="majorBidi" w:hAnsiTheme="majorBidi" w:cstheme="majorBidi"/>
          <w:b/>
          <w:bCs/>
          <w:i/>
          <w:iCs/>
          <w:lang w:val="en-US"/>
        </w:rPr>
        <w:t xml:space="preserve"> </w:t>
      </w:r>
      <w:r w:rsidR="00792207" w:rsidRPr="00C81874">
        <w:rPr>
          <w:rFonts w:asciiTheme="majorBidi" w:hAnsiTheme="majorBidi" w:cstheme="majorBidi"/>
          <w:i/>
          <w:iCs/>
          <w:color w:val="1A1A1A"/>
          <w:shd w:val="clear" w:color="auto" w:fill="FFFFFC"/>
        </w:rPr>
        <w:t xml:space="preserve">inability to reliably track and quantify carbon removals and other co-benefits from forestry practices is holding back wider adoption of such practices. It recommends specific steps that the Administration </w:t>
      </w:r>
      <w:r w:rsidRPr="00C81874">
        <w:rPr>
          <w:rFonts w:asciiTheme="majorBidi" w:hAnsiTheme="majorBidi" w:cstheme="majorBidi"/>
          <w:i/>
          <w:iCs/>
          <w:color w:val="1A1A1A"/>
          <w:shd w:val="clear" w:color="auto" w:fill="FFFFFC"/>
        </w:rPr>
        <w:t xml:space="preserve">should take to advance the measurement, monitoring, verification and reporting of carbon removals and other benefits associated with climate-smart forestry practices. </w:t>
      </w:r>
      <w:r w:rsidRPr="00C81874">
        <w:rPr>
          <w:rFonts w:asciiTheme="majorBidi" w:hAnsiTheme="majorBidi" w:cstheme="majorBidi"/>
          <w:i/>
          <w:iCs/>
          <w:lang w:val="en-US"/>
        </w:rPr>
        <w:t>With the backing of solid measurement and monitoring, governmental authorities and private parties can more confidently incentivize climate-smart forestry practices through a variety of potential mechanisms such as conservation grants, procurement preferences, premium pricing for climate-smart forestry products and better functioning carbon markets.</w:t>
      </w:r>
      <w:r w:rsidR="00E31D82" w:rsidRPr="00C81874">
        <w:rPr>
          <w:rFonts w:asciiTheme="majorBidi" w:hAnsiTheme="majorBidi" w:cstheme="majorBidi"/>
          <w:i/>
          <w:iCs/>
          <w:lang w:val="en-US"/>
        </w:rPr>
        <w:t xml:space="preserve"> Prime forestry-related carbon removal opportunities in the U.S. include agroforestry, reforestation, urban forestry, improved forest management and long-lived wood products.</w:t>
      </w:r>
    </w:p>
    <w:p w14:paraId="5889662D" w14:textId="77777777" w:rsidR="00B54905" w:rsidRPr="00B54905" w:rsidRDefault="00B54905" w:rsidP="00792207">
      <w:pPr>
        <w:rPr>
          <w:rFonts w:asciiTheme="majorBidi" w:hAnsiTheme="majorBidi" w:cstheme="majorBidi"/>
          <w:b/>
          <w:bCs/>
          <w:lang w:val="en-US"/>
        </w:rPr>
      </w:pPr>
    </w:p>
    <w:p w14:paraId="7C66CB18" w14:textId="2D2AA85B" w:rsidR="00792207" w:rsidRPr="00C81874" w:rsidRDefault="00792207" w:rsidP="00792207">
      <w:pPr>
        <w:rPr>
          <w:rFonts w:asciiTheme="majorBidi" w:hAnsiTheme="majorBidi" w:cstheme="majorBidi"/>
          <w:b/>
          <w:bCs/>
          <w:lang w:val="en-US"/>
        </w:rPr>
      </w:pPr>
      <w:r w:rsidRPr="00C81874">
        <w:rPr>
          <w:rFonts w:asciiTheme="majorBidi" w:hAnsiTheme="majorBidi" w:cstheme="majorBidi"/>
          <w:b/>
          <w:bCs/>
          <w:lang w:val="en-US"/>
        </w:rPr>
        <w:t>OVERVIEW</w:t>
      </w:r>
    </w:p>
    <w:p w14:paraId="0E8A571A" w14:textId="77777777" w:rsidR="00792207" w:rsidRPr="00C81874" w:rsidRDefault="00792207" w:rsidP="00792207">
      <w:pPr>
        <w:rPr>
          <w:rFonts w:asciiTheme="majorBidi" w:hAnsiTheme="majorBidi" w:cstheme="majorBidi"/>
          <w:b/>
          <w:bCs/>
          <w:lang w:val="en-US"/>
        </w:rPr>
      </w:pPr>
    </w:p>
    <w:p w14:paraId="6C3C2BD4" w14:textId="77777777" w:rsidR="00792207" w:rsidRPr="00C81874" w:rsidRDefault="00792207" w:rsidP="00792207">
      <w:pPr>
        <w:rPr>
          <w:rFonts w:asciiTheme="majorBidi" w:hAnsiTheme="majorBidi" w:cstheme="majorBidi"/>
          <w:lang w:val="en-US"/>
        </w:rPr>
      </w:pPr>
      <w:r w:rsidRPr="00C81874">
        <w:rPr>
          <w:rFonts w:asciiTheme="majorBidi" w:hAnsiTheme="majorBidi" w:cstheme="majorBidi"/>
          <w:b/>
          <w:bCs/>
          <w:lang w:val="en-US"/>
        </w:rPr>
        <w:t>What is known, and what is knowable about U.S. forests</w:t>
      </w:r>
      <w:r w:rsidRPr="00C81874">
        <w:rPr>
          <w:rFonts w:asciiTheme="majorBidi" w:hAnsiTheme="majorBidi" w:cstheme="majorBidi"/>
          <w:lang w:val="en-US"/>
        </w:rPr>
        <w:t>. We know that U.S. forests are major contributors to the fight against climate change and that they are poised to do more. Even though forests are under significant stresses from climate-infused catastrophic wildfires, insect infestations and long-term drought, U.S. forests are annually removing and storing the equivalent of 13 percent of overall U.S. greenhouse gas emissions. Contributions are coming from the most obvious forest sources, such our National Forests, National Parks, and other federal, state, tribal and local forest preserves. But they are also coming from the five billion trees and more than 100 million acres of tree cover in U.S. cities and towns and the billions of additional trees that are spread throughout America’s farms and pasture lands.</w:t>
      </w:r>
    </w:p>
    <w:p w14:paraId="5B6A445F" w14:textId="77777777" w:rsidR="00792207" w:rsidRPr="00C81874" w:rsidRDefault="00792207" w:rsidP="00792207">
      <w:pPr>
        <w:rPr>
          <w:rFonts w:asciiTheme="majorBidi" w:hAnsiTheme="majorBidi" w:cstheme="majorBidi"/>
          <w:lang w:val="en-US"/>
        </w:rPr>
      </w:pPr>
    </w:p>
    <w:p w14:paraId="16CDE0FB" w14:textId="4C1B0C1D" w:rsidR="00792207" w:rsidRPr="00C81874" w:rsidRDefault="00792207" w:rsidP="00792207">
      <w:pPr>
        <w:rPr>
          <w:rFonts w:asciiTheme="majorBidi" w:hAnsiTheme="majorBidi" w:cstheme="majorBidi"/>
          <w:lang w:val="en-US"/>
        </w:rPr>
      </w:pPr>
      <w:r w:rsidRPr="00C81874">
        <w:rPr>
          <w:rFonts w:asciiTheme="majorBidi" w:hAnsiTheme="majorBidi" w:cstheme="majorBidi"/>
          <w:lang w:val="en-US"/>
        </w:rPr>
        <w:t xml:space="preserve">We also know that pursuing “climate-smart” forestry practices like reforestation, integrating more trees in cropland and pasture lands (agroforestry), and expanding urban forests will capture and sequester more carbon in trees.  And we know that climate-smart forestry practices typically provide additional valuable services beyond carbon removal. They filter clean water for communities, provide wildlife habitat, promote biodiversity, and increase the resilience of landscapes in the face of extreme heat, drought, </w:t>
      </w:r>
      <w:r w:rsidR="005036E3" w:rsidRPr="00C81874">
        <w:rPr>
          <w:rFonts w:asciiTheme="majorBidi" w:hAnsiTheme="majorBidi" w:cstheme="majorBidi"/>
          <w:lang w:val="en-US"/>
        </w:rPr>
        <w:t>floods,</w:t>
      </w:r>
      <w:r w:rsidRPr="00C81874">
        <w:rPr>
          <w:rFonts w:asciiTheme="majorBidi" w:hAnsiTheme="majorBidi" w:cstheme="majorBidi"/>
          <w:lang w:val="en-US"/>
        </w:rPr>
        <w:t xml:space="preserve"> and other climate-related impacts. Finally, we know that wildfires and other disasters can strike forests and cut off these benefits, pending regeneration through natural or assisted means.  </w:t>
      </w:r>
    </w:p>
    <w:p w14:paraId="733CC94F" w14:textId="77777777" w:rsidR="00792207" w:rsidRPr="00C81874" w:rsidRDefault="00792207" w:rsidP="00792207">
      <w:pPr>
        <w:rPr>
          <w:rFonts w:asciiTheme="majorBidi" w:hAnsiTheme="majorBidi" w:cstheme="majorBidi"/>
          <w:lang w:val="en-US"/>
        </w:rPr>
      </w:pPr>
    </w:p>
    <w:p w14:paraId="7E03CA84" w14:textId="254E3872" w:rsidR="00792207" w:rsidRPr="00C81874" w:rsidRDefault="00792207" w:rsidP="00792207">
      <w:pPr>
        <w:rPr>
          <w:rFonts w:asciiTheme="majorBidi" w:hAnsiTheme="majorBidi" w:cstheme="majorBidi"/>
          <w:lang w:val="en-US"/>
        </w:rPr>
      </w:pPr>
      <w:r w:rsidRPr="00C81874">
        <w:rPr>
          <w:rFonts w:asciiTheme="majorBidi" w:hAnsiTheme="majorBidi" w:cstheme="majorBidi"/>
          <w:lang w:val="en-US"/>
        </w:rPr>
        <w:t xml:space="preserve">However, what we do not know with confidence is </w:t>
      </w:r>
      <w:r w:rsidRPr="00C81874">
        <w:rPr>
          <w:rFonts w:asciiTheme="majorBidi" w:hAnsiTheme="majorBidi" w:cstheme="majorBidi"/>
          <w:b/>
          <w:bCs/>
          <w:i/>
          <w:iCs/>
          <w:lang w:val="en-US"/>
        </w:rPr>
        <w:t>how much</w:t>
      </w:r>
      <w:r w:rsidRPr="00C81874">
        <w:rPr>
          <w:rFonts w:asciiTheme="majorBidi" w:hAnsiTheme="majorBidi" w:cstheme="majorBidi"/>
          <w:lang w:val="en-US"/>
        </w:rPr>
        <w:t xml:space="preserve"> and for </w:t>
      </w:r>
      <w:r w:rsidRPr="00C81874">
        <w:rPr>
          <w:rFonts w:asciiTheme="majorBidi" w:hAnsiTheme="majorBidi" w:cstheme="majorBidi"/>
          <w:b/>
          <w:bCs/>
          <w:i/>
          <w:iCs/>
          <w:lang w:val="en-US"/>
        </w:rPr>
        <w:t>how long</w:t>
      </w:r>
      <w:r w:rsidRPr="00C81874">
        <w:rPr>
          <w:rFonts w:asciiTheme="majorBidi" w:hAnsiTheme="majorBidi" w:cstheme="majorBidi"/>
          <w:lang w:val="en-US"/>
        </w:rPr>
        <w:t xml:space="preserve"> pursuing climate-smart forestry practices will remove additional carbon from the atmosphere and sequester it in trees and in wood </w:t>
      </w:r>
      <w:r w:rsidRPr="00C81874">
        <w:rPr>
          <w:rFonts w:asciiTheme="majorBidi" w:hAnsiTheme="majorBidi" w:cstheme="majorBidi"/>
          <w:lang w:val="en-US"/>
        </w:rPr>
        <w:lastRenderedPageBreak/>
        <w:t xml:space="preserve">products. But this information is </w:t>
      </w:r>
      <w:r w:rsidRPr="00C81874">
        <w:rPr>
          <w:rFonts w:asciiTheme="majorBidi" w:hAnsiTheme="majorBidi" w:cstheme="majorBidi"/>
          <w:b/>
          <w:bCs/>
          <w:i/>
          <w:iCs/>
          <w:lang w:val="en-US"/>
        </w:rPr>
        <w:t>knowable</w:t>
      </w:r>
      <w:r w:rsidRPr="00C81874">
        <w:rPr>
          <w:rFonts w:asciiTheme="majorBidi" w:hAnsiTheme="majorBidi" w:cstheme="majorBidi"/>
          <w:lang w:val="en-US"/>
        </w:rPr>
        <w:t xml:space="preserve">. Current forestry data sets — including the Forest Service’s valuable FIA (Forest Inventory &amp; Analysis) data system — are poised to sync up with powerful new remote sensing capabilities, machine learning and sophisticated modeling and data management tools to generate solid estimates of how much additional carbon is being captured through climate-smart forestry practices. </w:t>
      </w:r>
    </w:p>
    <w:p w14:paraId="727D1CAA" w14:textId="77777777" w:rsidR="00792207" w:rsidRPr="00C81874" w:rsidRDefault="00792207" w:rsidP="00792207">
      <w:pPr>
        <w:rPr>
          <w:rFonts w:asciiTheme="majorBidi" w:hAnsiTheme="majorBidi" w:cstheme="majorBidi"/>
          <w:lang w:val="en-US"/>
        </w:rPr>
      </w:pPr>
    </w:p>
    <w:p w14:paraId="44C1A98F" w14:textId="10801B87" w:rsidR="00792207" w:rsidRPr="00C81874" w:rsidRDefault="00792207" w:rsidP="00792207">
      <w:pPr>
        <w:rPr>
          <w:rFonts w:asciiTheme="majorBidi" w:hAnsiTheme="majorBidi" w:cstheme="majorBidi"/>
          <w:lang w:val="en-US"/>
        </w:rPr>
      </w:pPr>
      <w:r w:rsidRPr="00C81874">
        <w:rPr>
          <w:rFonts w:asciiTheme="majorBidi" w:hAnsiTheme="majorBidi" w:cstheme="majorBidi"/>
          <w:b/>
          <w:bCs/>
          <w:lang w:val="en-US"/>
        </w:rPr>
        <w:t>The opportunity.</w:t>
      </w:r>
      <w:r w:rsidRPr="00C81874">
        <w:rPr>
          <w:rFonts w:asciiTheme="majorBidi" w:hAnsiTheme="majorBidi" w:cstheme="majorBidi"/>
          <w:lang w:val="en-US"/>
        </w:rPr>
        <w:t xml:space="preserve">  Significant new federal funding and authority that is now available provides an unprecedented opportunity for the U.S. government to work with experts from government and the private sector to develop a suite of measurement, monitoring, reporting and verification (abbreviated herein as “MRV” or “measurement and monitoring”) tools that can convert </w:t>
      </w:r>
      <w:r w:rsidRPr="00C81874">
        <w:rPr>
          <w:rFonts w:asciiTheme="majorBidi" w:hAnsiTheme="majorBidi" w:cstheme="majorBidi"/>
          <w:b/>
          <w:bCs/>
          <w:i/>
          <w:iCs/>
          <w:lang w:val="en-US"/>
        </w:rPr>
        <w:t>knowable</w:t>
      </w:r>
      <w:r w:rsidRPr="00C81874">
        <w:rPr>
          <w:rFonts w:asciiTheme="majorBidi" w:hAnsiTheme="majorBidi" w:cstheme="majorBidi"/>
          <w:lang w:val="en-US"/>
        </w:rPr>
        <w:t xml:space="preserve"> climate-smart forestry benefits into confirmed, </w:t>
      </w:r>
      <w:r w:rsidRPr="00C81874">
        <w:rPr>
          <w:rFonts w:asciiTheme="majorBidi" w:hAnsiTheme="majorBidi" w:cstheme="majorBidi"/>
          <w:b/>
          <w:bCs/>
          <w:i/>
          <w:iCs/>
          <w:lang w:val="en-US"/>
        </w:rPr>
        <w:t>known</w:t>
      </w:r>
      <w:r w:rsidRPr="00C81874">
        <w:rPr>
          <w:rFonts w:asciiTheme="majorBidi" w:hAnsiTheme="majorBidi" w:cstheme="majorBidi"/>
          <w:lang w:val="en-US"/>
        </w:rPr>
        <w:t xml:space="preserve"> benefits. With the backing of solid measurement and monitoring, governmental authorities and private parties can more confidently incentivize climate-smart forestry practices through a variety of potential mechanisms such as conservation grants, procurement preferences, premium pricing for climate-smart forestry products and better functioning carbon markets. </w:t>
      </w:r>
    </w:p>
    <w:p w14:paraId="549299E8" w14:textId="77777777" w:rsidR="00792207" w:rsidRPr="00C81874" w:rsidRDefault="00792207" w:rsidP="00792207">
      <w:pPr>
        <w:rPr>
          <w:rFonts w:asciiTheme="majorBidi" w:hAnsiTheme="majorBidi" w:cstheme="majorBidi"/>
          <w:lang w:val="en-US"/>
        </w:rPr>
      </w:pPr>
    </w:p>
    <w:p w14:paraId="172733A6" w14:textId="77777777" w:rsidR="00792207" w:rsidRPr="00C81874" w:rsidRDefault="00792207" w:rsidP="00792207">
      <w:pPr>
        <w:rPr>
          <w:rFonts w:asciiTheme="majorBidi" w:hAnsiTheme="majorBidi" w:cstheme="majorBidi"/>
          <w:lang w:val="en-US"/>
        </w:rPr>
      </w:pPr>
      <w:r w:rsidRPr="00C81874">
        <w:rPr>
          <w:rFonts w:asciiTheme="majorBidi" w:hAnsiTheme="majorBidi" w:cstheme="majorBidi"/>
          <w:lang w:val="en-US"/>
        </w:rPr>
        <w:t xml:space="preserve">More specifically, with modern measurement and monitoring tools, baseline conditions and “additional” carbon captured and stored through deployment of climate-smart forestry practices can be identified. Likewise, improved monitoring can address so-called “permanence” issues by confirming that atmospheric removals of carbon are remaining stored in forests over defined time periods that can extend for decades, and potentially longer. And, regardless of whether those removals remain in place a hundred years from now, there may be compelling climate reasons to incentivize additional carbon removals from the atmosphere over the critically important transition period, when legacy fossil fuel use is continuing to pump excess carbon dioxide and other greenhouse gas (“GHG”) pollutants into the atmosphere. </w:t>
      </w:r>
    </w:p>
    <w:p w14:paraId="55F51D07" w14:textId="77777777" w:rsidR="00792207" w:rsidRPr="00C81874" w:rsidRDefault="00792207" w:rsidP="00792207">
      <w:pPr>
        <w:rPr>
          <w:rFonts w:asciiTheme="majorBidi" w:hAnsiTheme="majorBidi" w:cstheme="majorBidi"/>
          <w:lang w:val="en-US"/>
        </w:rPr>
      </w:pPr>
    </w:p>
    <w:p w14:paraId="37677873" w14:textId="77777777" w:rsidR="00792207" w:rsidRPr="00C81874" w:rsidRDefault="00792207" w:rsidP="00792207">
      <w:pPr>
        <w:rPr>
          <w:rFonts w:asciiTheme="majorBidi" w:hAnsiTheme="majorBidi" w:cstheme="majorBidi"/>
          <w:lang w:val="en-US"/>
        </w:rPr>
      </w:pPr>
      <w:r w:rsidRPr="00C81874">
        <w:rPr>
          <w:rFonts w:asciiTheme="majorBidi" w:hAnsiTheme="majorBidi" w:cstheme="majorBidi"/>
          <w:lang w:val="en-US"/>
        </w:rPr>
        <w:t xml:space="preserve">As with other nature-based solutions, however, climate-smart forestry practices need not be incentivized based on carbon benefits alone. Climate-smart practices’ co-benefits like clean water, biodiversity, and increased resilience to heat, drought, floods and other impacts can and should provide additional support for incentivizing climate-smart forestry practices. </w:t>
      </w:r>
    </w:p>
    <w:p w14:paraId="1784A4A1" w14:textId="77777777" w:rsidR="00792207" w:rsidRPr="00C81874" w:rsidRDefault="00792207" w:rsidP="00792207">
      <w:pPr>
        <w:rPr>
          <w:rFonts w:asciiTheme="majorBidi" w:hAnsiTheme="majorBidi" w:cstheme="majorBidi"/>
          <w:b/>
          <w:bCs/>
          <w:lang w:val="en-US"/>
        </w:rPr>
      </w:pPr>
    </w:p>
    <w:p w14:paraId="56AC6797" w14:textId="6D954ED5" w:rsidR="00792207" w:rsidRPr="00C81874" w:rsidRDefault="00F51CE4" w:rsidP="00792207">
      <w:pPr>
        <w:rPr>
          <w:rFonts w:asciiTheme="majorBidi" w:hAnsiTheme="majorBidi" w:cstheme="majorBidi"/>
          <w:b/>
          <w:bCs/>
          <w:lang w:val="en-US"/>
        </w:rPr>
      </w:pPr>
      <w:r w:rsidRPr="00C81874">
        <w:rPr>
          <w:rFonts w:asciiTheme="majorBidi" w:hAnsiTheme="majorBidi" w:cstheme="majorBidi"/>
          <w:b/>
          <w:bCs/>
          <w:lang w:val="en-US"/>
        </w:rPr>
        <w:t>RECOMMENDATIONS</w:t>
      </w:r>
    </w:p>
    <w:p w14:paraId="2F0EE10D" w14:textId="77777777" w:rsidR="00792207" w:rsidRPr="00C81874" w:rsidRDefault="00792207" w:rsidP="00792207">
      <w:pPr>
        <w:rPr>
          <w:rFonts w:asciiTheme="majorBidi" w:hAnsiTheme="majorBidi" w:cstheme="majorBidi"/>
          <w:b/>
          <w:bCs/>
          <w:lang w:val="en-US"/>
        </w:rPr>
      </w:pPr>
    </w:p>
    <w:p w14:paraId="68DC775A" w14:textId="77777777" w:rsidR="00792207" w:rsidRPr="00C81874" w:rsidRDefault="00792207" w:rsidP="00792207">
      <w:pPr>
        <w:rPr>
          <w:rFonts w:asciiTheme="majorBidi" w:hAnsiTheme="majorBidi" w:cstheme="majorBidi"/>
          <w:lang w:val="en-US"/>
        </w:rPr>
      </w:pPr>
      <w:r w:rsidRPr="00C81874">
        <w:rPr>
          <w:rFonts w:asciiTheme="majorBidi" w:hAnsiTheme="majorBidi" w:cstheme="majorBidi"/>
          <w:lang w:val="en-US"/>
        </w:rPr>
        <w:t>The U.S. Department of Agriculture (USDA) and the U.S. Forest Service (Forest Service) should make a strong push to significantly improve the measurement and monitoring of carbon sequestration in U.S. forests by:</w:t>
      </w:r>
    </w:p>
    <w:p w14:paraId="6CDBAA68" w14:textId="77777777" w:rsidR="00792207" w:rsidRPr="00C81874" w:rsidRDefault="00792207" w:rsidP="00792207">
      <w:pPr>
        <w:rPr>
          <w:rFonts w:asciiTheme="majorBidi" w:hAnsiTheme="majorBidi" w:cstheme="majorBidi"/>
          <w:lang w:val="en-US"/>
        </w:rPr>
      </w:pPr>
    </w:p>
    <w:p w14:paraId="42255B81" w14:textId="02F3BB7D" w:rsidR="00792207" w:rsidRPr="00C81874" w:rsidRDefault="00792207" w:rsidP="00792207">
      <w:pPr>
        <w:numPr>
          <w:ilvl w:val="0"/>
          <w:numId w:val="1"/>
        </w:numPr>
        <w:rPr>
          <w:rFonts w:asciiTheme="majorBidi" w:hAnsiTheme="majorBidi" w:cstheme="majorBidi"/>
          <w:lang w:val="en-US"/>
        </w:rPr>
      </w:pPr>
      <w:r w:rsidRPr="00C81874">
        <w:rPr>
          <w:rFonts w:asciiTheme="majorBidi" w:hAnsiTheme="majorBidi" w:cstheme="majorBidi"/>
          <w:lang w:val="en-US"/>
        </w:rPr>
        <w:t>E</w:t>
      </w:r>
      <w:r w:rsidRPr="00C81874">
        <w:rPr>
          <w:rFonts w:asciiTheme="majorBidi" w:hAnsiTheme="majorBidi" w:cstheme="majorBidi"/>
        </w:rPr>
        <w:t xml:space="preserve">nhancing and expanding the Forest Service’s FIA program through: (1) the cost-effective application of new technologies that will increase the scope and frequency of the program’s field plot measurements; and (2) the deployment of remote sensing and machine learning capabilities to generate evidence-based, verifiable estimates of carbon sequestration in U.S. forests. These tools should be used to measure and monitor the carbon benefits of climate-smart forestry practices that are known to accumulate carbon, such as those reviewed in this report. As a corollary, the NRCS should adopt MRV-calibrated models to quantify the carbon benefits for specific climate-smart forestry practices, drawing on expertise developed by others, including the Canadian Carbon Budget Model. </w:t>
      </w:r>
    </w:p>
    <w:p w14:paraId="2E344A24" w14:textId="0527A031" w:rsidR="00792207" w:rsidRPr="00C81874" w:rsidRDefault="00792207" w:rsidP="00792207">
      <w:pPr>
        <w:numPr>
          <w:ilvl w:val="0"/>
          <w:numId w:val="1"/>
        </w:numPr>
        <w:rPr>
          <w:rFonts w:asciiTheme="majorBidi" w:hAnsiTheme="majorBidi" w:cstheme="majorBidi"/>
          <w:lang w:val="en-US"/>
        </w:rPr>
      </w:pPr>
      <w:r w:rsidRPr="00C81874">
        <w:rPr>
          <w:rFonts w:asciiTheme="majorBidi" w:hAnsiTheme="majorBidi" w:cstheme="majorBidi"/>
        </w:rPr>
        <w:lastRenderedPageBreak/>
        <w:t xml:space="preserve">Coordinating with the White House, the U.S. Digital </w:t>
      </w:r>
      <w:r w:rsidR="005036E3" w:rsidRPr="00C81874">
        <w:rPr>
          <w:rFonts w:asciiTheme="majorBidi" w:hAnsiTheme="majorBidi" w:cstheme="majorBidi"/>
        </w:rPr>
        <w:t>Service,</w:t>
      </w:r>
      <w:r w:rsidRPr="00C81874">
        <w:rPr>
          <w:rFonts w:asciiTheme="majorBidi" w:hAnsiTheme="majorBidi" w:cstheme="majorBidi"/>
        </w:rPr>
        <w:t xml:space="preserve"> and outside experts to make its data on climate-smart forestry practices broadly available in anonymized, interoperable “data commons”-type formats to interested parties, and to encourage private, </w:t>
      </w:r>
      <w:r w:rsidR="005036E3" w:rsidRPr="00C81874">
        <w:rPr>
          <w:rFonts w:asciiTheme="majorBidi" w:hAnsiTheme="majorBidi" w:cstheme="majorBidi"/>
        </w:rPr>
        <w:t>academic,</w:t>
      </w:r>
      <w:r w:rsidRPr="00C81874">
        <w:rPr>
          <w:rFonts w:asciiTheme="majorBidi" w:hAnsiTheme="majorBidi" w:cstheme="majorBidi"/>
        </w:rPr>
        <w:t xml:space="preserve"> and other forestry data gatherers to do the same. </w:t>
      </w:r>
    </w:p>
    <w:p w14:paraId="270D1E99" w14:textId="77777777" w:rsidR="00792207" w:rsidRPr="00C81874" w:rsidRDefault="00792207" w:rsidP="00792207">
      <w:pPr>
        <w:rPr>
          <w:rFonts w:asciiTheme="majorBidi" w:hAnsiTheme="majorBidi" w:cstheme="majorBidi"/>
        </w:rPr>
      </w:pPr>
    </w:p>
    <w:p w14:paraId="3D5B8D0D" w14:textId="4D1F9118" w:rsidR="00792207" w:rsidRPr="00C81874" w:rsidRDefault="00792207" w:rsidP="00792207">
      <w:pPr>
        <w:rPr>
          <w:rFonts w:asciiTheme="majorBidi" w:hAnsiTheme="majorBidi" w:cstheme="majorBidi"/>
        </w:rPr>
      </w:pPr>
      <w:r w:rsidRPr="00C81874">
        <w:rPr>
          <w:rFonts w:asciiTheme="majorBidi" w:hAnsiTheme="majorBidi" w:cstheme="majorBidi"/>
        </w:rPr>
        <w:t xml:space="preserve">The report also identifies </w:t>
      </w:r>
      <w:r w:rsidR="00F51CE4" w:rsidRPr="00C81874">
        <w:rPr>
          <w:rFonts w:asciiTheme="majorBidi" w:hAnsiTheme="majorBidi" w:cstheme="majorBidi"/>
        </w:rPr>
        <w:t xml:space="preserve">related </w:t>
      </w:r>
      <w:r w:rsidRPr="00C81874">
        <w:rPr>
          <w:rFonts w:asciiTheme="majorBidi" w:hAnsiTheme="majorBidi" w:cstheme="majorBidi"/>
        </w:rPr>
        <w:t xml:space="preserve">recommendations </w:t>
      </w:r>
      <w:r w:rsidR="00F51CE4" w:rsidRPr="00C81874">
        <w:rPr>
          <w:rFonts w:asciiTheme="majorBidi" w:hAnsiTheme="majorBidi" w:cstheme="majorBidi"/>
        </w:rPr>
        <w:t>pertaining to</w:t>
      </w:r>
      <w:r w:rsidRPr="00C81874">
        <w:rPr>
          <w:rFonts w:asciiTheme="majorBidi" w:hAnsiTheme="majorBidi" w:cstheme="majorBidi"/>
        </w:rPr>
        <w:t xml:space="preserve"> </w:t>
      </w:r>
      <w:r w:rsidR="005036E3" w:rsidRPr="00C81874">
        <w:rPr>
          <w:rFonts w:asciiTheme="majorBidi" w:hAnsiTheme="majorBidi" w:cstheme="majorBidi"/>
        </w:rPr>
        <w:t>specific</w:t>
      </w:r>
      <w:r w:rsidRPr="00C81874">
        <w:rPr>
          <w:rFonts w:asciiTheme="majorBidi" w:hAnsiTheme="majorBidi" w:cstheme="majorBidi"/>
        </w:rPr>
        <w:t xml:space="preserve"> climate-smart forestry practices:</w:t>
      </w:r>
    </w:p>
    <w:p w14:paraId="7C3F11C6" w14:textId="77777777" w:rsidR="00792207" w:rsidRPr="00C81874" w:rsidRDefault="00792207" w:rsidP="00792207">
      <w:pPr>
        <w:rPr>
          <w:rFonts w:asciiTheme="majorBidi" w:hAnsiTheme="majorBidi" w:cstheme="majorBidi"/>
        </w:rPr>
      </w:pPr>
    </w:p>
    <w:p w14:paraId="1A99C1E8" w14:textId="77777777" w:rsidR="00792207" w:rsidRPr="00C81874" w:rsidRDefault="00792207" w:rsidP="00792207">
      <w:pPr>
        <w:numPr>
          <w:ilvl w:val="0"/>
          <w:numId w:val="3"/>
        </w:numPr>
        <w:rPr>
          <w:rFonts w:asciiTheme="majorBidi" w:hAnsiTheme="majorBidi" w:cstheme="majorBidi"/>
        </w:rPr>
      </w:pPr>
      <w:r w:rsidRPr="00C81874">
        <w:rPr>
          <w:rFonts w:asciiTheme="majorBidi" w:hAnsiTheme="majorBidi" w:cstheme="majorBidi"/>
        </w:rPr>
        <w:t xml:space="preserve">For </w:t>
      </w:r>
      <w:r w:rsidRPr="00C81874">
        <w:rPr>
          <w:rFonts w:asciiTheme="majorBidi" w:hAnsiTheme="majorBidi" w:cstheme="majorBidi"/>
          <w:b/>
          <w:bCs/>
        </w:rPr>
        <w:t>agroforestry</w:t>
      </w:r>
      <w:r w:rsidRPr="00C81874">
        <w:rPr>
          <w:rFonts w:asciiTheme="majorBidi" w:hAnsiTheme="majorBidi" w:cstheme="majorBidi"/>
        </w:rPr>
        <w:t xml:space="preserve">, use MRV to confirm the substantial carbon and other co-benefits associated with silvopasture, wind breaks and other agroforestry practices. Establish a strong EarthShot-type goal to expand agroforestry in the U.S. and bring coordinated and significantly expanded USDA funding and other resources to the table, including by NRCS. </w:t>
      </w:r>
    </w:p>
    <w:p w14:paraId="17B0A731" w14:textId="77777777" w:rsidR="00792207" w:rsidRPr="00C81874" w:rsidRDefault="00792207" w:rsidP="00792207">
      <w:pPr>
        <w:numPr>
          <w:ilvl w:val="0"/>
          <w:numId w:val="2"/>
        </w:numPr>
        <w:rPr>
          <w:rFonts w:asciiTheme="majorBidi" w:hAnsiTheme="majorBidi" w:cstheme="majorBidi"/>
        </w:rPr>
      </w:pPr>
      <w:r w:rsidRPr="00C81874">
        <w:rPr>
          <w:rFonts w:asciiTheme="majorBidi" w:hAnsiTheme="majorBidi" w:cstheme="majorBidi"/>
        </w:rPr>
        <w:t xml:space="preserve">For </w:t>
      </w:r>
      <w:r w:rsidRPr="00C81874">
        <w:rPr>
          <w:rFonts w:asciiTheme="majorBidi" w:hAnsiTheme="majorBidi" w:cstheme="majorBidi"/>
          <w:b/>
          <w:bCs/>
        </w:rPr>
        <w:t>reforestation</w:t>
      </w:r>
      <w:r w:rsidRPr="00C81874">
        <w:rPr>
          <w:rFonts w:asciiTheme="majorBidi" w:hAnsiTheme="majorBidi" w:cstheme="majorBidi"/>
        </w:rPr>
        <w:t xml:space="preserve">, apply enhanced MRV tools to confirm carbon removals and continue to aggressively implement reforestation efforts throughout the U.S. in coordination with states, tribes, private foresters, and NGO partners. </w:t>
      </w:r>
    </w:p>
    <w:p w14:paraId="6F0AC855" w14:textId="0AE31BD7" w:rsidR="00792207" w:rsidRPr="00C81874" w:rsidRDefault="00792207" w:rsidP="00792207">
      <w:pPr>
        <w:numPr>
          <w:ilvl w:val="0"/>
          <w:numId w:val="2"/>
        </w:numPr>
        <w:rPr>
          <w:rFonts w:asciiTheme="majorBidi" w:hAnsiTheme="majorBidi" w:cstheme="majorBidi"/>
        </w:rPr>
      </w:pPr>
      <w:r w:rsidRPr="00C81874">
        <w:rPr>
          <w:rFonts w:asciiTheme="majorBidi" w:hAnsiTheme="majorBidi" w:cstheme="majorBidi"/>
        </w:rPr>
        <w:t xml:space="preserve">For </w:t>
      </w:r>
      <w:r w:rsidRPr="00C81874">
        <w:rPr>
          <w:rFonts w:asciiTheme="majorBidi" w:hAnsiTheme="majorBidi" w:cstheme="majorBidi"/>
          <w:b/>
          <w:bCs/>
        </w:rPr>
        <w:t>urban forestry</w:t>
      </w:r>
      <w:r w:rsidRPr="00C81874">
        <w:rPr>
          <w:rFonts w:asciiTheme="majorBidi" w:hAnsiTheme="majorBidi" w:cstheme="majorBidi"/>
        </w:rPr>
        <w:t xml:space="preserve">, utilize newly available funding to partner with local jurisdictions, </w:t>
      </w:r>
      <w:r w:rsidR="005036E3" w:rsidRPr="00C81874">
        <w:rPr>
          <w:rFonts w:asciiTheme="majorBidi" w:hAnsiTheme="majorBidi" w:cstheme="majorBidi"/>
        </w:rPr>
        <w:t>NGOs,</w:t>
      </w:r>
      <w:r w:rsidRPr="00C81874">
        <w:rPr>
          <w:rFonts w:asciiTheme="majorBidi" w:hAnsiTheme="majorBidi" w:cstheme="majorBidi"/>
        </w:rPr>
        <w:t xml:space="preserve"> and grantees to improve MRV for carbon and other co-benefits of urban tree planting that include relief from extreme heat — with an emphasis on disadvantaged neighborhoods that have limited tree cover, energy savings and urban hydrology benefits. </w:t>
      </w:r>
    </w:p>
    <w:p w14:paraId="0BB4544D" w14:textId="73418259" w:rsidR="00792207" w:rsidRPr="00C81874" w:rsidRDefault="00792207" w:rsidP="00792207">
      <w:pPr>
        <w:numPr>
          <w:ilvl w:val="0"/>
          <w:numId w:val="2"/>
        </w:numPr>
        <w:rPr>
          <w:rFonts w:asciiTheme="majorBidi" w:hAnsiTheme="majorBidi" w:cstheme="majorBidi"/>
        </w:rPr>
      </w:pPr>
      <w:r w:rsidRPr="00C81874">
        <w:rPr>
          <w:rFonts w:asciiTheme="majorBidi" w:hAnsiTheme="majorBidi" w:cstheme="majorBidi"/>
        </w:rPr>
        <w:t xml:space="preserve">For </w:t>
      </w:r>
      <w:r w:rsidRPr="00C81874">
        <w:rPr>
          <w:rFonts w:asciiTheme="majorBidi" w:hAnsiTheme="majorBidi" w:cstheme="majorBidi"/>
          <w:b/>
          <w:bCs/>
        </w:rPr>
        <w:t>improved forest management</w:t>
      </w:r>
      <w:r w:rsidRPr="00C81874">
        <w:rPr>
          <w:rFonts w:asciiTheme="majorBidi" w:hAnsiTheme="majorBidi" w:cstheme="majorBidi"/>
        </w:rPr>
        <w:t xml:space="preserve"> (“IFM”) practices such as extended harvest cycles, wildfire mitigation and forest carbon soil-related practices, develop practice-specific MRV for carbon and other co-benefits. Support the development of federal procurement standards, private </w:t>
      </w:r>
      <w:r w:rsidR="005036E3" w:rsidRPr="00C81874">
        <w:rPr>
          <w:rFonts w:asciiTheme="majorBidi" w:hAnsiTheme="majorBidi" w:cstheme="majorBidi"/>
        </w:rPr>
        <w:t>certifications,</w:t>
      </w:r>
      <w:r w:rsidRPr="00C81874">
        <w:rPr>
          <w:rFonts w:asciiTheme="majorBidi" w:hAnsiTheme="majorBidi" w:cstheme="majorBidi"/>
        </w:rPr>
        <w:t xml:space="preserve"> and financial tools to incentivize IFM practices. </w:t>
      </w:r>
    </w:p>
    <w:p w14:paraId="2012C559" w14:textId="77777777" w:rsidR="00792207" w:rsidRPr="00C81874" w:rsidRDefault="00792207" w:rsidP="00792207">
      <w:pPr>
        <w:numPr>
          <w:ilvl w:val="0"/>
          <w:numId w:val="2"/>
        </w:numPr>
        <w:rPr>
          <w:rFonts w:asciiTheme="majorBidi" w:hAnsiTheme="majorBidi" w:cstheme="majorBidi"/>
          <w:lang w:val="en-US"/>
        </w:rPr>
      </w:pPr>
      <w:r w:rsidRPr="00C81874">
        <w:rPr>
          <w:rFonts w:asciiTheme="majorBidi" w:hAnsiTheme="majorBidi" w:cstheme="majorBidi"/>
        </w:rPr>
        <w:t xml:space="preserve">For </w:t>
      </w:r>
      <w:r w:rsidRPr="00C81874">
        <w:rPr>
          <w:rFonts w:asciiTheme="majorBidi" w:hAnsiTheme="majorBidi" w:cstheme="majorBidi"/>
          <w:b/>
          <w:bCs/>
        </w:rPr>
        <w:t>long-lived wood products</w:t>
      </w:r>
      <w:r w:rsidRPr="00C81874">
        <w:rPr>
          <w:rFonts w:asciiTheme="majorBidi" w:hAnsiTheme="majorBidi" w:cstheme="majorBidi"/>
        </w:rPr>
        <w:t xml:space="preserve">, commission a definitive report that addresses the relative carbon benefits of wood products as compared with other building materials. Leverage the federal “Buy Clean” procurement initiative and other mechanisms to incentivize the responsible expansion of supply and adoption of mass timber. Push certification organizations to condition their support for long-lived wood products on the confirmed deployment of climate-smart forestry practices. Support private landowners’ efforts to monetize additional carbon benefits from wood produced on their land, particularly for small, family and minority landowners. </w:t>
      </w:r>
    </w:p>
    <w:p w14:paraId="0B29A3BA" w14:textId="77777777" w:rsidR="00792207" w:rsidRPr="00C81874" w:rsidRDefault="00792207" w:rsidP="00792207">
      <w:pPr>
        <w:numPr>
          <w:ilvl w:val="0"/>
          <w:numId w:val="2"/>
        </w:numPr>
        <w:rPr>
          <w:rFonts w:asciiTheme="majorBidi" w:hAnsiTheme="majorBidi" w:cstheme="majorBidi"/>
          <w:lang w:val="en-US"/>
        </w:rPr>
      </w:pPr>
      <w:r w:rsidRPr="00C81874">
        <w:rPr>
          <w:rFonts w:asciiTheme="majorBidi" w:hAnsiTheme="majorBidi" w:cstheme="majorBidi"/>
        </w:rPr>
        <w:t xml:space="preserve">For </w:t>
      </w:r>
      <w:r w:rsidRPr="00C81874">
        <w:rPr>
          <w:rFonts w:asciiTheme="majorBidi" w:hAnsiTheme="majorBidi" w:cstheme="majorBidi"/>
          <w:b/>
          <w:bCs/>
        </w:rPr>
        <w:t>bioenergy with carbon capture and storage (BECCS</w:t>
      </w:r>
      <w:r w:rsidRPr="00C81874">
        <w:rPr>
          <w:rFonts w:asciiTheme="majorBidi" w:hAnsiTheme="majorBidi" w:cstheme="majorBidi"/>
        </w:rPr>
        <w:t xml:space="preserve">), track the potential use of forest-based feedstocks in BECCS projects for potential increases </w:t>
      </w:r>
      <w:r w:rsidRPr="00C81874">
        <w:rPr>
          <w:rFonts w:asciiTheme="majorBidi" w:hAnsiTheme="majorBidi" w:cstheme="majorBidi"/>
          <w:lang w:val="en-US"/>
        </w:rPr>
        <w:t>in demand for timber production to meet other needs (leakage). Consider linking the use of forestry-based feedstocks with upstream climate-smart forestry practices.</w:t>
      </w:r>
    </w:p>
    <w:p w14:paraId="577AD97B" w14:textId="77777777" w:rsidR="00792207" w:rsidRPr="00C81874" w:rsidRDefault="00792207" w:rsidP="00792207">
      <w:pPr>
        <w:rPr>
          <w:rFonts w:asciiTheme="majorBidi" w:hAnsiTheme="majorBidi" w:cstheme="majorBidi"/>
          <w:lang w:val="en-US"/>
        </w:rPr>
      </w:pPr>
    </w:p>
    <w:p w14:paraId="1EF62564" w14:textId="77777777" w:rsidR="00792207" w:rsidRPr="00C81874" w:rsidRDefault="00792207" w:rsidP="00792207">
      <w:pPr>
        <w:rPr>
          <w:rFonts w:asciiTheme="majorBidi" w:hAnsiTheme="majorBidi" w:cstheme="majorBidi"/>
          <w:lang w:val="en-US"/>
        </w:rPr>
      </w:pPr>
    </w:p>
    <w:p w14:paraId="3D92D125" w14:textId="77777777" w:rsidR="00BE1C53" w:rsidRPr="00C81874" w:rsidRDefault="00BE1C53">
      <w:pPr>
        <w:rPr>
          <w:rFonts w:asciiTheme="majorBidi" w:hAnsiTheme="majorBidi" w:cstheme="majorBidi"/>
          <w:lang w:val="en-US"/>
        </w:rPr>
      </w:pPr>
    </w:p>
    <w:sectPr w:rsidR="00BE1C53" w:rsidRPr="00C81874" w:rsidSect="008373DC">
      <w:footerReference w:type="even" r:id="rId7"/>
      <w:footerReference w:type="default" r:id="rId8"/>
      <w:headerReference w:type="firs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0B922" w14:textId="77777777" w:rsidR="0040651D" w:rsidRDefault="0040651D" w:rsidP="00460698">
      <w:pPr>
        <w:spacing w:line="240" w:lineRule="auto"/>
      </w:pPr>
      <w:r>
        <w:separator/>
      </w:r>
    </w:p>
  </w:endnote>
  <w:endnote w:type="continuationSeparator" w:id="0">
    <w:p w14:paraId="2B270BC5" w14:textId="77777777" w:rsidR="0040651D" w:rsidRDefault="0040651D" w:rsidP="00460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2420594"/>
      <w:docPartObj>
        <w:docPartGallery w:val="Page Numbers (Bottom of Page)"/>
        <w:docPartUnique/>
      </w:docPartObj>
    </w:sdtPr>
    <w:sdtContent>
      <w:p w14:paraId="3234D498" w14:textId="584A1B11" w:rsidR="00460698" w:rsidRDefault="00460698" w:rsidP="00CB38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8373DC">
          <w:rPr>
            <w:rStyle w:val="PageNumber"/>
          </w:rPr>
          <w:fldChar w:fldCharType="separate"/>
        </w:r>
        <w:r w:rsidR="008373DC">
          <w:rPr>
            <w:rStyle w:val="PageNumber"/>
            <w:noProof/>
          </w:rPr>
          <w:t>2</w:t>
        </w:r>
        <w:r>
          <w:rPr>
            <w:rStyle w:val="PageNumber"/>
          </w:rPr>
          <w:fldChar w:fldCharType="end"/>
        </w:r>
      </w:p>
    </w:sdtContent>
  </w:sdt>
  <w:p w14:paraId="43B92E5F" w14:textId="77777777" w:rsidR="00460698" w:rsidRDefault="00460698" w:rsidP="00460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1140710"/>
      <w:docPartObj>
        <w:docPartGallery w:val="Page Numbers (Bottom of Page)"/>
        <w:docPartUnique/>
      </w:docPartObj>
    </w:sdtPr>
    <w:sdtContent>
      <w:p w14:paraId="000C40C1" w14:textId="4C0302BE" w:rsidR="00460698" w:rsidRDefault="00460698" w:rsidP="00CB38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BE1A86" w14:textId="77777777" w:rsidR="00460698" w:rsidRDefault="00460698" w:rsidP="004606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2518A" w14:textId="77777777" w:rsidR="0040651D" w:rsidRDefault="0040651D" w:rsidP="00460698">
      <w:pPr>
        <w:spacing w:line="240" w:lineRule="auto"/>
      </w:pPr>
      <w:r>
        <w:separator/>
      </w:r>
    </w:p>
  </w:footnote>
  <w:footnote w:type="continuationSeparator" w:id="0">
    <w:p w14:paraId="053A6B08" w14:textId="77777777" w:rsidR="0040651D" w:rsidRDefault="0040651D" w:rsidP="004606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E25F" w14:textId="6DFCB8D7" w:rsidR="008373DC" w:rsidRDefault="008373DC" w:rsidP="008373DC">
    <w:pPr>
      <w:pStyle w:val="Header"/>
      <w:ind w:firstLine="720"/>
    </w:pPr>
    <w:r>
      <w:rPr>
        <w:noProof/>
      </w:rPr>
      <w:drawing>
        <wp:anchor distT="0" distB="0" distL="114300" distR="114300" simplePos="0" relativeHeight="251663360" behindDoc="0" locked="0" layoutInCell="1" allowOverlap="1" wp14:anchorId="7A8E0889" wp14:editId="742FB2C1">
          <wp:simplePos x="0" y="0"/>
          <wp:positionH relativeFrom="column">
            <wp:posOffset>-161458</wp:posOffset>
          </wp:positionH>
          <wp:positionV relativeFrom="paragraph">
            <wp:posOffset>-208280</wp:posOffset>
          </wp:positionV>
          <wp:extent cx="2890157" cy="715828"/>
          <wp:effectExtent l="0" t="0" r="0" b="0"/>
          <wp:wrapNone/>
          <wp:docPr id="1422332528" name="Picture 1422332528" descr="A picture containing font, tex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57570" name="Picture 2" descr="A picture containing font, text, graphics, graphic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0157" cy="71582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4148CF2" wp14:editId="34D641B1">
          <wp:simplePos x="0" y="0"/>
          <wp:positionH relativeFrom="column">
            <wp:posOffset>4641448</wp:posOffset>
          </wp:positionH>
          <wp:positionV relativeFrom="paragraph">
            <wp:posOffset>-208344</wp:posOffset>
          </wp:positionV>
          <wp:extent cx="1428750" cy="733942"/>
          <wp:effectExtent l="0" t="0" r="0" b="3175"/>
          <wp:wrapNone/>
          <wp:docPr id="1669273798" name="Picture 1669273798" descr="A picture containing text, screenshot, moon,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57657" name="Picture 1" descr="A picture containing text, screenshot, moon, nature&#10;&#10;Description automatically generated"/>
                  <pic:cNvPicPr/>
                </pic:nvPicPr>
                <pic:blipFill rotWithShape="1">
                  <a:blip r:embed="rId2">
                    <a:extLst>
                      <a:ext uri="{28A0092B-C50C-407E-A947-70E740481C1C}">
                        <a14:useLocalDpi xmlns:a14="http://schemas.microsoft.com/office/drawing/2010/main" val="0"/>
                      </a:ext>
                    </a:extLst>
                  </a:blip>
                  <a:srcRect l="22631" t="39079" r="22295" b="39067"/>
                  <a:stretch/>
                </pic:blipFill>
                <pic:spPr bwMode="auto">
                  <a:xfrm>
                    <a:off x="0" y="0"/>
                    <a:ext cx="1428750" cy="73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63E15"/>
    <w:multiLevelType w:val="multilevel"/>
    <w:tmpl w:val="BBD44CEC"/>
    <w:lvl w:ilvl="0">
      <w:start w:val="1"/>
      <w:numFmt w:val="bullet"/>
      <w:lvlText w:val=""/>
      <w:lvlJc w:val="left"/>
      <w:pPr>
        <w:ind w:left="720" w:hanging="360"/>
      </w:pPr>
      <w:rPr>
        <w:rFonts w:ascii="Symbol" w:hAnsi="Symbol" w:hint="default"/>
        <w:b w:val="0"/>
        <w:bCs w:val="0"/>
      </w:rPr>
    </w:lvl>
    <w:lvl w:ilvl="1">
      <w:start w:val="1"/>
      <w:numFmt w:val="decimal"/>
      <w:lvlText w:val="%2."/>
      <w:lvlJc w:val="left"/>
      <w:pPr>
        <w:ind w:left="1080" w:hanging="360"/>
      </w:pPr>
      <w:rPr>
        <w:b w:val="0"/>
        <w:bCs w:val="0"/>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625F1E"/>
    <w:multiLevelType w:val="multilevel"/>
    <w:tmpl w:val="BBD44CEC"/>
    <w:lvl w:ilvl="0">
      <w:start w:val="1"/>
      <w:numFmt w:val="bullet"/>
      <w:lvlText w:val=""/>
      <w:lvlJc w:val="left"/>
      <w:pPr>
        <w:ind w:left="720" w:hanging="360"/>
      </w:pPr>
      <w:rPr>
        <w:rFonts w:ascii="Symbol" w:hAnsi="Symbol" w:hint="default"/>
        <w:b w:val="0"/>
        <w:bCs w:val="0"/>
      </w:rPr>
    </w:lvl>
    <w:lvl w:ilvl="1">
      <w:start w:val="1"/>
      <w:numFmt w:val="decimal"/>
      <w:lvlText w:val="%2."/>
      <w:lvlJc w:val="left"/>
      <w:pPr>
        <w:ind w:left="1080" w:hanging="360"/>
      </w:pPr>
      <w:rPr>
        <w:b w:val="0"/>
        <w:bCs w:val="0"/>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2C4E8E"/>
    <w:multiLevelType w:val="multilevel"/>
    <w:tmpl w:val="BBD44CEC"/>
    <w:lvl w:ilvl="0">
      <w:start w:val="1"/>
      <w:numFmt w:val="bullet"/>
      <w:lvlText w:val=""/>
      <w:lvlJc w:val="left"/>
      <w:pPr>
        <w:ind w:left="720" w:hanging="360"/>
      </w:pPr>
      <w:rPr>
        <w:rFonts w:ascii="Symbol" w:hAnsi="Symbol" w:hint="default"/>
        <w:b w:val="0"/>
        <w:bCs w:val="0"/>
      </w:rPr>
    </w:lvl>
    <w:lvl w:ilvl="1">
      <w:start w:val="1"/>
      <w:numFmt w:val="decimal"/>
      <w:lvlText w:val="%2."/>
      <w:lvlJc w:val="left"/>
      <w:pPr>
        <w:ind w:left="1080" w:hanging="360"/>
      </w:pPr>
      <w:rPr>
        <w:b w:val="0"/>
        <w:bCs w:val="0"/>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7998264">
    <w:abstractNumId w:val="0"/>
  </w:num>
  <w:num w:numId="2" w16cid:durableId="801843419">
    <w:abstractNumId w:val="1"/>
  </w:num>
  <w:num w:numId="3" w16cid:durableId="233391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07"/>
    <w:rsid w:val="00382B9D"/>
    <w:rsid w:val="0040651D"/>
    <w:rsid w:val="00460698"/>
    <w:rsid w:val="005036E3"/>
    <w:rsid w:val="00792207"/>
    <w:rsid w:val="008373DC"/>
    <w:rsid w:val="00B54905"/>
    <w:rsid w:val="00BE1C53"/>
    <w:rsid w:val="00C81874"/>
    <w:rsid w:val="00E31D82"/>
    <w:rsid w:val="00F51C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86FE"/>
  <w15:chartTrackingRefBased/>
  <w15:docId w15:val="{E3CB70CA-63D4-DE4B-AB9C-9E9CFF0A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207"/>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0698"/>
    <w:pPr>
      <w:tabs>
        <w:tab w:val="center" w:pos="4680"/>
        <w:tab w:val="right" w:pos="9360"/>
      </w:tabs>
      <w:spacing w:line="240" w:lineRule="auto"/>
    </w:pPr>
  </w:style>
  <w:style w:type="character" w:customStyle="1" w:styleId="FooterChar">
    <w:name w:val="Footer Char"/>
    <w:basedOn w:val="DefaultParagraphFont"/>
    <w:link w:val="Footer"/>
    <w:uiPriority w:val="99"/>
    <w:rsid w:val="00460698"/>
    <w:rPr>
      <w:rFonts w:ascii="Arial" w:eastAsia="Arial" w:hAnsi="Arial" w:cs="Arial"/>
      <w:kern w:val="0"/>
      <w:sz w:val="22"/>
      <w:szCs w:val="22"/>
      <w:lang w:val="en"/>
      <w14:ligatures w14:val="none"/>
    </w:rPr>
  </w:style>
  <w:style w:type="character" w:styleId="PageNumber">
    <w:name w:val="page number"/>
    <w:basedOn w:val="DefaultParagraphFont"/>
    <w:uiPriority w:val="99"/>
    <w:semiHidden/>
    <w:unhideWhenUsed/>
    <w:rsid w:val="00460698"/>
  </w:style>
  <w:style w:type="paragraph" w:styleId="Header">
    <w:name w:val="header"/>
    <w:basedOn w:val="Normal"/>
    <w:link w:val="HeaderChar"/>
    <w:uiPriority w:val="99"/>
    <w:unhideWhenUsed/>
    <w:rsid w:val="008373DC"/>
    <w:pPr>
      <w:tabs>
        <w:tab w:val="center" w:pos="4680"/>
        <w:tab w:val="right" w:pos="9360"/>
      </w:tabs>
      <w:spacing w:line="240" w:lineRule="auto"/>
    </w:pPr>
  </w:style>
  <w:style w:type="character" w:customStyle="1" w:styleId="HeaderChar">
    <w:name w:val="Header Char"/>
    <w:basedOn w:val="DefaultParagraphFont"/>
    <w:link w:val="Header"/>
    <w:uiPriority w:val="99"/>
    <w:rsid w:val="008373DC"/>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 Hayes</dc:creator>
  <cp:keywords/>
  <dc:description/>
  <cp:lastModifiedBy>Corissa Paris</cp:lastModifiedBy>
  <cp:revision>2</cp:revision>
  <cp:lastPrinted>2023-07-07T17:41:00Z</cp:lastPrinted>
  <dcterms:created xsi:type="dcterms:W3CDTF">2023-07-10T05:54:00Z</dcterms:created>
  <dcterms:modified xsi:type="dcterms:W3CDTF">2023-07-10T05:54:00Z</dcterms:modified>
</cp:coreProperties>
</file>